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BD8FA" w14:textId="77777777" w:rsidR="0035019E" w:rsidRDefault="00FB05F2">
      <w:pPr>
        <w:pStyle w:val="affffff3"/>
        <w:framePr w:wrap="around"/>
      </w:pPr>
      <w:r>
        <w:rPr>
          <w:rFonts w:ascii="Times New Roman"/>
        </w:rPr>
        <w:t>ICS:</w:t>
      </w:r>
      <w:r>
        <w:rPr>
          <w:rFonts w:ascii="Cambria Math" w:hAnsi="Cambria Math" w:cs="Cambria Math"/>
        </w:rPr>
        <w:t> </w:t>
      </w:r>
    </w:p>
    <w:p w14:paraId="45DF98C8" w14:textId="77777777" w:rsidR="0035019E" w:rsidRDefault="00FB05F2">
      <w:pPr>
        <w:pStyle w:val="affffff3"/>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35019E" w14:paraId="2B028E6F" w14:textId="77777777">
        <w:tc>
          <w:tcPr>
            <w:tcW w:w="9854" w:type="dxa"/>
            <w:tcBorders>
              <w:top w:val="nil"/>
              <w:left w:val="nil"/>
              <w:bottom w:val="nil"/>
              <w:right w:val="nil"/>
            </w:tcBorders>
          </w:tcPr>
          <w:p w14:paraId="2DF4FFB5" w14:textId="77777777" w:rsidR="0035019E" w:rsidRDefault="00FB05F2">
            <w:pPr>
              <w:pStyle w:val="affffff3"/>
              <w:framePr w:wrap="around"/>
            </w:pPr>
            <w:r>
              <w:rPr>
                <w:noProof/>
              </w:rPr>
              <mc:AlternateContent>
                <mc:Choice Requires="wps">
                  <w:drawing>
                    <wp:anchor distT="0" distB="0" distL="114300" distR="114300" simplePos="0" relativeHeight="251664384" behindDoc="1" locked="0" layoutInCell="1" allowOverlap="1" wp14:anchorId="78D68288" wp14:editId="585A8EB8">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1C1EFD56" w14:textId="77777777" w:rsidR="0035019E" w:rsidRDefault="00FB05F2">
      <w:pPr>
        <w:pStyle w:val="afffff9"/>
        <w:framePr w:wrap="around" w:y="2026"/>
        <w:rPr>
          <w:sz w:val="72"/>
          <w:szCs w:val="72"/>
        </w:rPr>
      </w:pPr>
      <w:r>
        <w:rPr>
          <w:rFonts w:hint="eastAsia"/>
          <w:sz w:val="72"/>
          <w:szCs w:val="72"/>
        </w:rPr>
        <w:t>团体标准</w:t>
      </w:r>
    </w:p>
    <w:p w14:paraId="6BE98AE1" w14:textId="77777777" w:rsidR="0035019E" w:rsidRDefault="00FB05F2">
      <w:pPr>
        <w:pStyle w:val="20"/>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35019E" w14:paraId="04B84E21" w14:textId="77777777">
        <w:tc>
          <w:tcPr>
            <w:tcW w:w="9356" w:type="dxa"/>
            <w:tcBorders>
              <w:top w:val="nil"/>
              <w:left w:val="nil"/>
              <w:bottom w:val="nil"/>
              <w:right w:val="nil"/>
            </w:tcBorders>
          </w:tcPr>
          <w:bookmarkStart w:id="3" w:name="DT"/>
          <w:p w14:paraId="7981D43E" w14:textId="77777777" w:rsidR="0035019E" w:rsidRDefault="00FB05F2">
            <w:pPr>
              <w:pStyle w:val="affffb"/>
              <w:framePr w:wrap="around"/>
            </w:pPr>
            <w:r>
              <w:rPr>
                <w:noProof/>
              </w:rPr>
              <mc:AlternateContent>
                <mc:Choice Requires="wps">
                  <w:drawing>
                    <wp:anchor distT="0" distB="0" distL="114300" distR="114300" simplePos="0" relativeHeight="251661312" behindDoc="1" locked="0" layoutInCell="1" allowOverlap="1" wp14:anchorId="252217AA" wp14:editId="27F2A109">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14:paraId="2D9A085A" w14:textId="77777777" w:rsidR="0035019E" w:rsidRDefault="0035019E">
      <w:pPr>
        <w:pStyle w:val="20"/>
        <w:framePr w:wrap="around"/>
      </w:pPr>
    </w:p>
    <w:p w14:paraId="093F3FA9" w14:textId="77777777" w:rsidR="0035019E" w:rsidRDefault="0035019E">
      <w:pPr>
        <w:pStyle w:val="20"/>
        <w:framePr w:wrap="around"/>
      </w:pPr>
    </w:p>
    <w:p w14:paraId="5A79FD80" w14:textId="77777777" w:rsidR="0035019E" w:rsidRDefault="00FB05F2">
      <w:pPr>
        <w:pStyle w:val="afff3"/>
        <w:framePr w:wrap="around" w:x="1041" w:y="5464"/>
      </w:pPr>
      <w:r>
        <w:t>高温气冷堆核动力厂余热排出系统试验导则</w:t>
      </w:r>
    </w:p>
    <w:p w14:paraId="14FEFFCE" w14:textId="77777777" w:rsidR="0035019E" w:rsidRDefault="00FB05F2">
      <w:pPr>
        <w:pStyle w:val="afff2"/>
        <w:framePr w:wrap="around" w:x="1041" w:y="5464"/>
      </w:pPr>
      <w:r>
        <w:t>Guidelines for hot test of residual heat removal system of High Temperature Gas-cooled Reactor</w:t>
      </w:r>
    </w:p>
    <w:p w14:paraId="15A82F52" w14:textId="77777777" w:rsidR="0035019E" w:rsidRDefault="00FB05F2">
      <w:pPr>
        <w:pStyle w:val="afff1"/>
        <w:framePr w:wrap="around" w:x="1041" w:y="5464"/>
      </w:pPr>
      <w:r>
        <w:fldChar w:fldCharType="begin">
          <w:ffData>
            <w:name w:val="YZBS"/>
            <w:enabled/>
            <w:calcOnExit w:val="0"/>
            <w:textInput>
              <w:default w:val="征求意见稿"/>
            </w:textInput>
          </w:ffData>
        </w:fldChar>
      </w:r>
      <w:bookmarkStart w:id="4" w:name="YZBS"/>
      <w:r>
        <w:instrText xml:space="preserve"> FORMTEXT </w:instrText>
      </w:r>
      <w:r>
        <w:fldChar w:fldCharType="separate"/>
      </w:r>
      <w:r>
        <w:rPr>
          <w:rFonts w:hint="eastAsia"/>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35019E" w14:paraId="66F1616E" w14:textId="77777777">
        <w:tc>
          <w:tcPr>
            <w:tcW w:w="9855" w:type="dxa"/>
            <w:tcBorders>
              <w:top w:val="nil"/>
              <w:left w:val="nil"/>
              <w:bottom w:val="nil"/>
              <w:right w:val="nil"/>
            </w:tcBorders>
          </w:tcPr>
          <w:p w14:paraId="702C1A14" w14:textId="77777777" w:rsidR="0035019E" w:rsidRDefault="00FB05F2">
            <w:pPr>
              <w:pStyle w:val="affff"/>
              <w:framePr w:wrap="around" w:x="1041" w:y="5464"/>
            </w:pPr>
            <w:r>
              <w:rPr>
                <w:noProof/>
              </w:rPr>
              <mc:AlternateContent>
                <mc:Choice Requires="wps">
                  <w:drawing>
                    <wp:anchor distT="0" distB="0" distL="114300" distR="114300" simplePos="0" relativeHeight="251663360" behindDoc="1" locked="1" layoutInCell="1" allowOverlap="1" wp14:anchorId="2218ACAA" wp14:editId="27A4B9CB">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757877E2" wp14:editId="299C22D2">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p>
        </w:tc>
      </w:tr>
      <w:tr w:rsidR="0035019E" w14:paraId="3BDA975D" w14:textId="77777777">
        <w:tc>
          <w:tcPr>
            <w:tcW w:w="9855" w:type="dxa"/>
            <w:tcBorders>
              <w:top w:val="nil"/>
              <w:left w:val="nil"/>
              <w:bottom w:val="nil"/>
              <w:right w:val="nil"/>
            </w:tcBorders>
          </w:tcPr>
          <w:p w14:paraId="5533B604" w14:textId="77777777" w:rsidR="0035019E" w:rsidRDefault="00FB05F2">
            <w:pPr>
              <w:pStyle w:val="affff6"/>
              <w:framePr w:wrap="around" w:x="1041" w:y="5464"/>
            </w:pPr>
            <w:r>
              <w:fldChar w:fldCharType="begin">
                <w:ffData>
                  <w:name w:val="WCRQ"/>
                  <w:enabled/>
                  <w:calcOnExit w:val="0"/>
                  <w:textInput>
                    <w:default w:val="2022.11.27"/>
                  </w:textInput>
                </w:ffData>
              </w:fldChar>
            </w:r>
            <w:bookmarkStart w:id="5" w:name="WCRQ"/>
            <w:r>
              <w:instrText xml:space="preserve"> FORMTEXT </w:instrText>
            </w:r>
            <w:r>
              <w:fldChar w:fldCharType="separate"/>
            </w:r>
            <w:r>
              <w:t>2022.11.27</w:t>
            </w:r>
            <w:r>
              <w:fldChar w:fldCharType="end"/>
            </w:r>
            <w:bookmarkEnd w:id="5"/>
          </w:p>
        </w:tc>
      </w:tr>
    </w:tbl>
    <w:bookmarkStart w:id="6" w:name="FY"/>
    <w:p w14:paraId="4BED9171" w14:textId="77777777" w:rsidR="0035019E" w:rsidRDefault="00FB05F2">
      <w:pPr>
        <w:pStyle w:val="afffffb"/>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r>
        <w:rPr>
          <w:noProof/>
        </w:rPr>
        <mc:AlternateContent>
          <mc:Choice Requires="wps">
            <w:drawing>
              <wp:anchor distT="0" distB="0" distL="114300" distR="114300" simplePos="0" relativeHeight="251659264" behindDoc="0" locked="1" layoutInCell="1" allowOverlap="1" wp14:anchorId="65F0A6BB" wp14:editId="5C3948F8">
                <wp:simplePos x="0" y="0"/>
                <wp:positionH relativeFrom="column">
                  <wp:posOffset>-635</wp:posOffset>
                </wp:positionH>
                <wp:positionV relativeFrom="page">
                  <wp:posOffset>9251950</wp:posOffset>
                </wp:positionV>
                <wp:extent cx="6120130" cy="0"/>
                <wp:effectExtent l="8890" t="3175" r="5080"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m+Mv/XAQAAog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G0jp1J4cDzwp+8/nn7+&#10;EpMizhCo5piFX8VMT+39fbhD9Y2Ex0UPfqNLkw+HwJmTLGf1V0o2KHCJ9fAZW46BbcKi1L6LLkOy&#10;BmJfBnK4DETvk1D8eD1hVd7zrNTZV0F9TgyR0ieNTuRLI63xWSuoYXdHKTcC9TkkP3u8NdaWeVsv&#10;hkZ+vJpelQRCa9rszGEUN+uFjWIHeWPKV1ix53lYxK1vj0WsP5HOPPPiUb3G9rCKZzF4dKWb05rl&#10;3Xhul+w/v9b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CpvjL/1wEAAKIDAAAOAAAAAAAA&#10;AAEAIAAAACUBAABkcnMvZTJvRG9jLnhtbFBLBQYAAAAABgAGAFkBAABuBQAAAAA=&#10;">
                <v:fill on="f" focussize="0,0"/>
                <v:stroke color="#000000" joinstyle="round"/>
                <v:imagedata o:title=""/>
                <o:lock v:ext="edit" aspectratio="f"/>
                <w10:anchorlock/>
              </v:line>
            </w:pict>
          </mc:Fallback>
        </mc:AlternateContent>
      </w:r>
    </w:p>
    <w:bookmarkStart w:id="8" w:name="SY"/>
    <w:p w14:paraId="73F180E7" w14:textId="77777777" w:rsidR="0035019E" w:rsidRDefault="00FB05F2">
      <w:pPr>
        <w:pStyle w:val="affffff7"/>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12EB0A7E" w14:textId="77777777" w:rsidR="0035019E" w:rsidRDefault="00FB05F2">
      <w:pPr>
        <w:pStyle w:val="afffff3"/>
        <w:framePr w:wrap="around"/>
      </w:pPr>
      <w:r>
        <w:rPr>
          <w:rFonts w:hint="eastAsia"/>
        </w:rPr>
        <w:t>中国核能行业协会</w:t>
      </w:r>
      <w:r>
        <w:rPr>
          <w:rFonts w:ascii="Cambria Math" w:hAnsi="Cambria Math" w:cs="Cambria Math"/>
        </w:rPr>
        <w:t>   </w:t>
      </w:r>
      <w:r>
        <w:rPr>
          <w:rStyle w:val="afff0"/>
          <w:rFonts w:hint="eastAsia"/>
        </w:rPr>
        <w:t>发布</w:t>
      </w:r>
    </w:p>
    <w:p w14:paraId="5DFE3EE4" w14:textId="77777777" w:rsidR="0035019E" w:rsidRDefault="00FB05F2">
      <w:pPr>
        <w:pStyle w:val="aff9"/>
        <w:sectPr w:rsidR="0035019E">
          <w:headerReference w:type="even" r:id="rId8"/>
          <w:footerReference w:type="even" r:id="rId9"/>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1CB147A9" wp14:editId="5816D1A5">
                <wp:simplePos x="0" y="0"/>
                <wp:positionH relativeFrom="column">
                  <wp:posOffset>-635</wp:posOffset>
                </wp:positionH>
                <wp:positionV relativeFrom="paragraph">
                  <wp:posOffset>2339975</wp:posOffset>
                </wp:positionV>
                <wp:extent cx="6120130" cy="0"/>
                <wp:effectExtent l="3810" t="4445" r="635"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kHiX9cAAAAJAQAADwAAAAAAAAABACAA&#10;AAAiAAAAZHJzL2Rvd25yZXYueG1sUEsBAhQAFAAAAAgAh07iQCziP77VAQAAogMAAA4AAAAAAAAA&#10;AQAgAAAAJgEAAGRycy9lMm9Eb2MueG1sUEsFBgAAAAAGAAYAWQEAAG0FAAAAAA==&#10;">
                <v:fill on="f" focussize="0,0"/>
                <v:stroke color="#000000" joinstyle="round"/>
                <v:imagedata o:title=""/>
                <o:lock v:ext="edit" aspectratio="f"/>
              </v:line>
            </w:pict>
          </mc:Fallback>
        </mc:AlternateContent>
      </w:r>
    </w:p>
    <w:p w14:paraId="7DBF96BA" w14:textId="77777777" w:rsidR="0035019E" w:rsidRDefault="00FB05F2">
      <w:pPr>
        <w:pStyle w:val="afffc"/>
      </w:pPr>
      <w:bookmarkStart w:id="11" w:name="_Toc193044577"/>
      <w:bookmarkStart w:id="12" w:name="_Toc193044515"/>
      <w:bookmarkStart w:id="13" w:name="_Toc118462985"/>
      <w:bookmarkStart w:id="14" w:name="_Toc46228652"/>
      <w:bookmarkStart w:id="15" w:name="_Toc118463203"/>
      <w:bookmarkStart w:id="16" w:name="_Toc118463022"/>
      <w:bookmarkStart w:id="17" w:name="_Toc118463177"/>
      <w:bookmarkStart w:id="18" w:name="_Toc193046470"/>
      <w:r>
        <w:rPr>
          <w:rFonts w:hint="eastAsia"/>
        </w:rPr>
        <w:lastRenderedPageBreak/>
        <w:t>目</w:t>
      </w:r>
      <w:bookmarkStart w:id="19" w:name="BKML"/>
      <w:r>
        <w:t>  </w:t>
      </w:r>
      <w:r>
        <w:rPr>
          <w:rFonts w:hint="eastAsia"/>
        </w:rPr>
        <w:t>次</w:t>
      </w:r>
      <w:bookmarkEnd w:id="19"/>
    </w:p>
    <w:p w14:paraId="3A065EF9" w14:textId="77777777" w:rsidR="0035019E" w:rsidRDefault="00FB05F2">
      <w:pPr>
        <w:pStyle w:val="TOC1"/>
        <w:tabs>
          <w:tab w:val="right" w:leader="dot" w:pos="9345"/>
        </w:tabs>
        <w:rPr>
          <w:rFonts w:asciiTheme="minorHAnsi" w:eastAsiaTheme="minorEastAsia" w:hAnsiTheme="minorHAnsi" w:cstheme="minorBidi"/>
          <w:szCs w:val="22"/>
        </w:rPr>
      </w:pPr>
      <w:r>
        <w:rPr>
          <w:szCs w:val="21"/>
        </w:rPr>
        <w:fldChar w:fldCharType="begin"/>
      </w:r>
      <w:r>
        <w:rPr>
          <w:szCs w:val="21"/>
        </w:rPr>
        <w:instrText xml:space="preserve"> TOC \h \z \t"</w:instrText>
      </w:r>
      <w:r>
        <w:rPr>
          <w:szCs w:val="21"/>
        </w:rPr>
        <w:instrText>前言、引言标题</w:instrText>
      </w:r>
      <w:r>
        <w:rPr>
          <w:szCs w:val="21"/>
        </w:rPr>
        <w:instrText>,1,</w:instrText>
      </w:r>
      <w:r>
        <w:rPr>
          <w:szCs w:val="21"/>
        </w:rPr>
        <w:instrText>参考文献、索引标题</w:instrText>
      </w:r>
      <w:r>
        <w:rPr>
          <w:szCs w:val="21"/>
        </w:rPr>
        <w:instrText>,1,</w:instrText>
      </w:r>
      <w:r>
        <w:rPr>
          <w:szCs w:val="21"/>
        </w:rPr>
        <w:instrText>章标题</w:instrText>
      </w:r>
      <w:r>
        <w:rPr>
          <w:szCs w:val="21"/>
        </w:rPr>
        <w:instrText>,1,</w:instrText>
      </w:r>
      <w:r>
        <w:rPr>
          <w:szCs w:val="21"/>
        </w:rPr>
        <w:instrText>参考文献</w:instrText>
      </w:r>
      <w:r>
        <w:rPr>
          <w:szCs w:val="21"/>
        </w:rPr>
        <w:instrText>,1,</w:instrText>
      </w:r>
      <w:r>
        <w:rPr>
          <w:szCs w:val="21"/>
        </w:rPr>
        <w:instrText>附录标识</w:instrText>
      </w:r>
      <w:r>
        <w:rPr>
          <w:szCs w:val="21"/>
        </w:rPr>
        <w:instrText>,1,</w:instrText>
      </w:r>
      <w:r>
        <w:rPr>
          <w:szCs w:val="21"/>
        </w:rPr>
        <w:instrText>附录章标题</w:instrText>
      </w:r>
      <w:r>
        <w:rPr>
          <w:szCs w:val="21"/>
        </w:rPr>
        <w:instrText xml:space="preserve">, 3" \* MERGEFORMAT  \* MERGEFORMAT </w:instrText>
      </w:r>
      <w:r>
        <w:rPr>
          <w:szCs w:val="21"/>
        </w:rPr>
        <w:fldChar w:fldCharType="separate"/>
      </w:r>
      <w:hyperlink w:anchor="_Toc121127575" w:history="1">
        <w:r>
          <w:rPr>
            <w:rStyle w:val="affd"/>
            <w:rFonts w:hint="eastAsia"/>
          </w:rPr>
          <w:t>前</w:t>
        </w:r>
        <w:r>
          <w:rPr>
            <w:rStyle w:val="affd"/>
            <w:rFonts w:ascii="Cambria Math" w:hAnsi="Cambria Math" w:cs="Cambria Math"/>
          </w:rPr>
          <w:t>  </w:t>
        </w:r>
        <w:r>
          <w:rPr>
            <w:rStyle w:val="affd"/>
            <w:rFonts w:hint="eastAsia"/>
          </w:rPr>
          <w:t>言</w:t>
        </w:r>
        <w:r>
          <w:tab/>
        </w:r>
        <w:r>
          <w:fldChar w:fldCharType="begin"/>
        </w:r>
        <w:r>
          <w:instrText xml:space="preserve"> PAGEREF _Toc121127575 \h </w:instrText>
        </w:r>
        <w:r>
          <w:fldChar w:fldCharType="separate"/>
        </w:r>
        <w:r>
          <w:t>II</w:t>
        </w:r>
        <w:r>
          <w:fldChar w:fldCharType="end"/>
        </w:r>
      </w:hyperlink>
    </w:p>
    <w:p w14:paraId="2176449C" w14:textId="77777777" w:rsidR="0035019E" w:rsidRDefault="00000000">
      <w:pPr>
        <w:pStyle w:val="TOC1"/>
        <w:tabs>
          <w:tab w:val="right" w:leader="dot" w:pos="9345"/>
        </w:tabs>
        <w:rPr>
          <w:rFonts w:asciiTheme="minorHAnsi" w:eastAsiaTheme="minorEastAsia" w:hAnsiTheme="minorHAnsi" w:cstheme="minorBidi"/>
          <w:szCs w:val="22"/>
        </w:rPr>
      </w:pPr>
      <w:hyperlink w:anchor="_Toc121127576" w:history="1">
        <w:r w:rsidR="00FB05F2">
          <w:rPr>
            <w:rStyle w:val="affd"/>
          </w:rPr>
          <w:t>1</w:t>
        </w:r>
        <w:r w:rsidR="00FB05F2">
          <w:rPr>
            <w:rStyle w:val="affd"/>
            <w:rFonts w:hint="eastAsia"/>
          </w:rPr>
          <w:t xml:space="preserve"> </w:t>
        </w:r>
        <w:r w:rsidR="00FB05F2">
          <w:rPr>
            <w:rStyle w:val="affd"/>
            <w:rFonts w:hint="eastAsia"/>
          </w:rPr>
          <w:t>范围</w:t>
        </w:r>
        <w:r w:rsidR="00FB05F2">
          <w:tab/>
        </w:r>
        <w:r w:rsidR="00FB05F2">
          <w:fldChar w:fldCharType="begin"/>
        </w:r>
        <w:r w:rsidR="00FB05F2">
          <w:instrText xml:space="preserve"> PAGEREF _Toc121127576 \h </w:instrText>
        </w:r>
        <w:r w:rsidR="00FB05F2">
          <w:fldChar w:fldCharType="separate"/>
        </w:r>
        <w:r w:rsidR="00FB05F2">
          <w:t>1</w:t>
        </w:r>
        <w:r w:rsidR="00FB05F2">
          <w:fldChar w:fldCharType="end"/>
        </w:r>
      </w:hyperlink>
    </w:p>
    <w:p w14:paraId="5132D975" w14:textId="77777777" w:rsidR="0035019E" w:rsidRDefault="00000000">
      <w:pPr>
        <w:pStyle w:val="TOC1"/>
        <w:tabs>
          <w:tab w:val="right" w:leader="dot" w:pos="9345"/>
        </w:tabs>
        <w:rPr>
          <w:rFonts w:asciiTheme="minorHAnsi" w:eastAsiaTheme="minorEastAsia" w:hAnsiTheme="minorHAnsi" w:cstheme="minorBidi"/>
          <w:szCs w:val="22"/>
        </w:rPr>
      </w:pPr>
      <w:hyperlink w:anchor="_Toc121127577" w:history="1">
        <w:r w:rsidR="00FB05F2">
          <w:rPr>
            <w:rStyle w:val="affd"/>
          </w:rPr>
          <w:t>2</w:t>
        </w:r>
        <w:r w:rsidR="00FB05F2">
          <w:rPr>
            <w:rStyle w:val="affd"/>
            <w:rFonts w:hint="eastAsia"/>
          </w:rPr>
          <w:t xml:space="preserve"> </w:t>
        </w:r>
        <w:r w:rsidR="00FB05F2">
          <w:rPr>
            <w:rStyle w:val="affd"/>
            <w:rFonts w:hint="eastAsia"/>
          </w:rPr>
          <w:t>规范性引用文件</w:t>
        </w:r>
        <w:r w:rsidR="00FB05F2">
          <w:tab/>
        </w:r>
        <w:r w:rsidR="00FB05F2">
          <w:fldChar w:fldCharType="begin"/>
        </w:r>
        <w:r w:rsidR="00FB05F2">
          <w:instrText xml:space="preserve"> PAGEREF _Toc121127577 \h </w:instrText>
        </w:r>
        <w:r w:rsidR="00FB05F2">
          <w:fldChar w:fldCharType="separate"/>
        </w:r>
        <w:r w:rsidR="00FB05F2">
          <w:t>1</w:t>
        </w:r>
        <w:r w:rsidR="00FB05F2">
          <w:fldChar w:fldCharType="end"/>
        </w:r>
      </w:hyperlink>
    </w:p>
    <w:p w14:paraId="26CD2D9B" w14:textId="77777777" w:rsidR="0035019E" w:rsidRDefault="00000000">
      <w:pPr>
        <w:pStyle w:val="TOC1"/>
        <w:tabs>
          <w:tab w:val="right" w:leader="dot" w:pos="9345"/>
        </w:tabs>
        <w:rPr>
          <w:rFonts w:asciiTheme="minorHAnsi" w:eastAsiaTheme="minorEastAsia" w:hAnsiTheme="minorHAnsi" w:cstheme="minorBidi"/>
          <w:szCs w:val="22"/>
        </w:rPr>
      </w:pPr>
      <w:hyperlink w:anchor="_Toc121127578" w:history="1">
        <w:r w:rsidR="00FB05F2">
          <w:rPr>
            <w:rStyle w:val="affd"/>
          </w:rPr>
          <w:t>3</w:t>
        </w:r>
        <w:r w:rsidR="00FB05F2">
          <w:rPr>
            <w:rStyle w:val="affd"/>
            <w:rFonts w:hint="eastAsia"/>
          </w:rPr>
          <w:t xml:space="preserve"> </w:t>
        </w:r>
        <w:r w:rsidR="00FB05F2">
          <w:rPr>
            <w:rStyle w:val="affd"/>
            <w:rFonts w:hint="eastAsia"/>
          </w:rPr>
          <w:t>术语和定义</w:t>
        </w:r>
        <w:r w:rsidR="00FB05F2">
          <w:tab/>
        </w:r>
        <w:r w:rsidR="00FB05F2">
          <w:fldChar w:fldCharType="begin"/>
        </w:r>
        <w:r w:rsidR="00FB05F2">
          <w:instrText xml:space="preserve"> PAGEREF _Toc121127578 \h </w:instrText>
        </w:r>
        <w:r w:rsidR="00FB05F2">
          <w:fldChar w:fldCharType="separate"/>
        </w:r>
        <w:r w:rsidR="00FB05F2">
          <w:t>1</w:t>
        </w:r>
        <w:r w:rsidR="00FB05F2">
          <w:fldChar w:fldCharType="end"/>
        </w:r>
      </w:hyperlink>
    </w:p>
    <w:p w14:paraId="285B4D74" w14:textId="77777777" w:rsidR="0035019E" w:rsidRDefault="00000000">
      <w:pPr>
        <w:pStyle w:val="TOC1"/>
        <w:tabs>
          <w:tab w:val="right" w:leader="dot" w:pos="9345"/>
        </w:tabs>
        <w:rPr>
          <w:rFonts w:asciiTheme="minorHAnsi" w:eastAsiaTheme="minorEastAsia" w:hAnsiTheme="minorHAnsi" w:cstheme="minorBidi"/>
          <w:szCs w:val="22"/>
        </w:rPr>
      </w:pPr>
      <w:hyperlink w:anchor="_Toc121127579" w:history="1">
        <w:r w:rsidR="00FB05F2">
          <w:rPr>
            <w:rStyle w:val="affd"/>
          </w:rPr>
          <w:t>4</w:t>
        </w:r>
        <w:r w:rsidR="00FB05F2">
          <w:rPr>
            <w:rStyle w:val="affd"/>
            <w:rFonts w:hint="eastAsia"/>
          </w:rPr>
          <w:t xml:space="preserve"> </w:t>
        </w:r>
        <w:r w:rsidR="00FB05F2">
          <w:rPr>
            <w:rStyle w:val="affd"/>
            <w:rFonts w:hint="eastAsia"/>
          </w:rPr>
          <w:t>目的和验收准则</w:t>
        </w:r>
        <w:r w:rsidR="00FB05F2">
          <w:tab/>
        </w:r>
        <w:r w:rsidR="00FB05F2">
          <w:fldChar w:fldCharType="begin"/>
        </w:r>
        <w:r w:rsidR="00FB05F2">
          <w:instrText xml:space="preserve"> PAGEREF _Toc121127579 \h </w:instrText>
        </w:r>
        <w:r w:rsidR="00FB05F2">
          <w:fldChar w:fldCharType="separate"/>
        </w:r>
        <w:r w:rsidR="00FB05F2">
          <w:t>1</w:t>
        </w:r>
        <w:r w:rsidR="00FB05F2">
          <w:fldChar w:fldCharType="end"/>
        </w:r>
      </w:hyperlink>
    </w:p>
    <w:p w14:paraId="51B7332E" w14:textId="77777777" w:rsidR="0035019E" w:rsidRDefault="00000000">
      <w:pPr>
        <w:pStyle w:val="TOC1"/>
        <w:tabs>
          <w:tab w:val="right" w:leader="dot" w:pos="9345"/>
        </w:tabs>
        <w:rPr>
          <w:rFonts w:asciiTheme="minorHAnsi" w:eastAsiaTheme="minorEastAsia" w:hAnsiTheme="minorHAnsi" w:cstheme="minorBidi"/>
          <w:szCs w:val="22"/>
        </w:rPr>
      </w:pPr>
      <w:hyperlink w:anchor="_Toc121127580" w:history="1">
        <w:r w:rsidR="00FB05F2">
          <w:rPr>
            <w:rStyle w:val="affd"/>
          </w:rPr>
          <w:t>5</w:t>
        </w:r>
        <w:r w:rsidR="00FB05F2">
          <w:rPr>
            <w:rStyle w:val="affd"/>
            <w:rFonts w:hint="eastAsia"/>
          </w:rPr>
          <w:t xml:space="preserve"> </w:t>
        </w:r>
        <w:r w:rsidR="00FB05F2">
          <w:rPr>
            <w:rStyle w:val="affd"/>
            <w:rFonts w:hint="eastAsia"/>
          </w:rPr>
          <w:t>先决条件</w:t>
        </w:r>
        <w:r w:rsidR="00FB05F2">
          <w:tab/>
        </w:r>
        <w:r w:rsidR="00FB05F2">
          <w:fldChar w:fldCharType="begin"/>
        </w:r>
        <w:r w:rsidR="00FB05F2">
          <w:instrText xml:space="preserve"> PAGEREF _Toc121127580 \h </w:instrText>
        </w:r>
        <w:r w:rsidR="00FB05F2">
          <w:fldChar w:fldCharType="separate"/>
        </w:r>
        <w:r w:rsidR="00FB05F2">
          <w:t>2</w:t>
        </w:r>
        <w:r w:rsidR="00FB05F2">
          <w:fldChar w:fldCharType="end"/>
        </w:r>
      </w:hyperlink>
    </w:p>
    <w:p w14:paraId="7C3355F5" w14:textId="77777777" w:rsidR="0035019E" w:rsidRDefault="00000000">
      <w:pPr>
        <w:pStyle w:val="TOC1"/>
        <w:tabs>
          <w:tab w:val="right" w:leader="dot" w:pos="9345"/>
        </w:tabs>
        <w:rPr>
          <w:rFonts w:asciiTheme="minorHAnsi" w:eastAsiaTheme="minorEastAsia" w:hAnsiTheme="minorHAnsi" w:cstheme="minorBidi"/>
          <w:szCs w:val="22"/>
        </w:rPr>
      </w:pPr>
      <w:hyperlink w:anchor="_Toc121127581" w:history="1">
        <w:r w:rsidR="00FB05F2">
          <w:rPr>
            <w:rStyle w:val="affd"/>
          </w:rPr>
          <w:t>6</w:t>
        </w:r>
        <w:r w:rsidR="00FB05F2">
          <w:rPr>
            <w:rStyle w:val="affd"/>
            <w:rFonts w:hint="eastAsia"/>
          </w:rPr>
          <w:t xml:space="preserve"> </w:t>
        </w:r>
        <w:r w:rsidR="00FB05F2">
          <w:rPr>
            <w:rStyle w:val="affd"/>
            <w:rFonts w:hint="eastAsia"/>
          </w:rPr>
          <w:t>试验内容</w:t>
        </w:r>
        <w:r w:rsidR="00FB05F2">
          <w:tab/>
        </w:r>
        <w:r w:rsidR="00FB05F2">
          <w:fldChar w:fldCharType="begin"/>
        </w:r>
        <w:r w:rsidR="00FB05F2">
          <w:instrText xml:space="preserve"> PAGEREF _Toc121127581 \h </w:instrText>
        </w:r>
        <w:r w:rsidR="00FB05F2">
          <w:fldChar w:fldCharType="separate"/>
        </w:r>
        <w:r w:rsidR="00FB05F2">
          <w:t>2</w:t>
        </w:r>
        <w:r w:rsidR="00FB05F2">
          <w:fldChar w:fldCharType="end"/>
        </w:r>
      </w:hyperlink>
    </w:p>
    <w:p w14:paraId="58758792" w14:textId="77777777" w:rsidR="0035019E" w:rsidRDefault="00000000">
      <w:pPr>
        <w:pStyle w:val="TOC1"/>
        <w:tabs>
          <w:tab w:val="right" w:leader="dot" w:pos="9345"/>
        </w:tabs>
        <w:rPr>
          <w:rFonts w:asciiTheme="minorHAnsi" w:eastAsiaTheme="minorEastAsia" w:hAnsiTheme="minorHAnsi" w:cstheme="minorBidi"/>
          <w:szCs w:val="22"/>
        </w:rPr>
      </w:pPr>
      <w:hyperlink w:anchor="_Toc121127582" w:history="1">
        <w:r w:rsidR="00FB05F2">
          <w:rPr>
            <w:rStyle w:val="affd"/>
            <w:rFonts w:hint="eastAsia"/>
          </w:rPr>
          <w:t xml:space="preserve">附　录　</w:t>
        </w:r>
        <w:r w:rsidR="00FB05F2">
          <w:rPr>
            <w:rStyle w:val="affd"/>
            <w:rFonts w:hint="eastAsia"/>
          </w:rPr>
          <w:t xml:space="preserve">A </w:t>
        </w:r>
        <w:r w:rsidR="00FB05F2">
          <w:rPr>
            <w:rStyle w:val="affd"/>
            <w:rFonts w:hint="eastAsia"/>
          </w:rPr>
          <w:t>（资料性）</w:t>
        </w:r>
        <w:r w:rsidR="00FB05F2">
          <w:rPr>
            <w:rStyle w:val="affd"/>
          </w:rPr>
          <w:t xml:space="preserve"> </w:t>
        </w:r>
        <w:r w:rsidR="00FB05F2">
          <w:rPr>
            <w:rStyle w:val="affd"/>
            <w:rFonts w:hint="eastAsia"/>
          </w:rPr>
          <w:t>余热排出系统流程简图</w:t>
        </w:r>
        <w:r w:rsidR="00FB05F2">
          <w:tab/>
        </w:r>
        <w:r w:rsidR="00FB05F2">
          <w:fldChar w:fldCharType="begin"/>
        </w:r>
        <w:r w:rsidR="00FB05F2">
          <w:instrText xml:space="preserve"> PAGEREF _Toc121127582 \h </w:instrText>
        </w:r>
        <w:r w:rsidR="00FB05F2">
          <w:fldChar w:fldCharType="separate"/>
        </w:r>
        <w:r w:rsidR="00FB05F2">
          <w:t>4</w:t>
        </w:r>
        <w:r w:rsidR="00FB05F2">
          <w:fldChar w:fldCharType="end"/>
        </w:r>
      </w:hyperlink>
    </w:p>
    <w:p w14:paraId="2FDED7B6" w14:textId="77777777" w:rsidR="0035019E" w:rsidRDefault="00FB05F2">
      <w:pPr>
        <w:pStyle w:val="aff9"/>
      </w:pPr>
      <w:r>
        <w:rPr>
          <w:kern w:val="2"/>
          <w:szCs w:val="21"/>
        </w:rPr>
        <w:fldChar w:fldCharType="end"/>
      </w:r>
    </w:p>
    <w:p w14:paraId="13063BA2" w14:textId="77777777" w:rsidR="0035019E" w:rsidRDefault="00FB05F2">
      <w:pPr>
        <w:pStyle w:val="afffffa"/>
      </w:pPr>
      <w:bookmarkStart w:id="20" w:name="_Toc193047667"/>
      <w:bookmarkStart w:id="21" w:name="_Toc121127575"/>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712A7982" w14:textId="77777777" w:rsidR="0035019E" w:rsidRDefault="00FB05F2">
      <w:pPr>
        <w:pStyle w:val="affffff8"/>
        <w:spacing w:before="0" w:beforeAutospacing="0" w:after="0" w:afterAutospacing="0"/>
        <w:ind w:firstLine="420"/>
        <w:jc w:val="both"/>
        <w:rPr>
          <w:color w:val="000000"/>
          <w:sz w:val="21"/>
          <w:szCs w:val="21"/>
        </w:rPr>
      </w:pPr>
      <w:r>
        <w:rPr>
          <w:rFonts w:hint="eastAsia"/>
          <w:color w:val="000000"/>
          <w:sz w:val="21"/>
          <w:szCs w:val="21"/>
        </w:rPr>
        <w:t>本文件按照GB/T 1.1-2020 《标准化工作导则 第1部分：标准化文件的结构和起草规则》的规定起草。</w:t>
      </w:r>
    </w:p>
    <w:p w14:paraId="05847142" w14:textId="77777777" w:rsidR="0035019E" w:rsidRDefault="00FB05F2">
      <w:pPr>
        <w:pStyle w:val="affffff8"/>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44F99C5C" w14:textId="77777777" w:rsidR="0035019E" w:rsidRDefault="00FB05F2">
      <w:pPr>
        <w:pStyle w:val="affffff8"/>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本文件由中国核能行业协会提出并归口管理，技术支持单位为上海核工程研究设计院有限公司、核工业标准化研究所、苏州热工研究院有限公司。</w:t>
      </w:r>
    </w:p>
    <w:p w14:paraId="36F055C8" w14:textId="1CC67738" w:rsidR="0035019E" w:rsidRDefault="00FB05F2">
      <w:pPr>
        <w:pStyle w:val="affffff8"/>
        <w:spacing w:before="0" w:beforeAutospacing="0" w:after="0" w:afterAutospacing="0"/>
        <w:ind w:firstLine="420"/>
        <w:jc w:val="both"/>
        <w:rPr>
          <w:color w:val="000000"/>
          <w:sz w:val="21"/>
          <w:szCs w:val="21"/>
        </w:rPr>
      </w:pPr>
      <w:r>
        <w:rPr>
          <w:rFonts w:hint="eastAsia"/>
          <w:color w:val="000000"/>
          <w:sz w:val="21"/>
          <w:szCs w:val="21"/>
        </w:rPr>
        <w:t>本文件起草单位：</w:t>
      </w:r>
      <w:r w:rsidR="00DF52D4">
        <w:rPr>
          <w:color w:val="000000"/>
          <w:sz w:val="21"/>
          <w:szCs w:val="21"/>
        </w:rPr>
        <w:t xml:space="preserve"> </w:t>
      </w:r>
    </w:p>
    <w:p w14:paraId="3D17A3C3" w14:textId="29A82AA5" w:rsidR="0035019E" w:rsidRDefault="00FB05F2">
      <w:pPr>
        <w:pStyle w:val="affffff8"/>
        <w:spacing w:before="0" w:beforeAutospacing="0" w:after="0" w:afterAutospacing="0"/>
        <w:ind w:firstLine="420"/>
        <w:jc w:val="both"/>
        <w:rPr>
          <w:color w:val="000000"/>
          <w:sz w:val="21"/>
          <w:szCs w:val="21"/>
        </w:rPr>
      </w:pPr>
      <w:r>
        <w:rPr>
          <w:rFonts w:hint="eastAsia"/>
          <w:color w:val="000000"/>
          <w:sz w:val="21"/>
          <w:szCs w:val="21"/>
        </w:rPr>
        <w:t>本文件主要起草人：</w:t>
      </w:r>
      <w:r w:rsidR="00DF52D4">
        <w:rPr>
          <w:color w:val="000000"/>
          <w:sz w:val="21"/>
          <w:szCs w:val="21"/>
        </w:rPr>
        <w:t xml:space="preserve"> </w:t>
      </w:r>
    </w:p>
    <w:p w14:paraId="4EF23BF7" w14:textId="77777777" w:rsidR="0035019E" w:rsidRDefault="00FB05F2">
      <w:pPr>
        <w:pStyle w:val="affffff8"/>
        <w:spacing w:before="0" w:beforeAutospacing="0" w:after="0" w:afterAutospacing="0"/>
        <w:ind w:firstLine="420"/>
        <w:jc w:val="both"/>
        <w:rPr>
          <w:color w:val="000000"/>
          <w:sz w:val="21"/>
          <w:szCs w:val="21"/>
        </w:rPr>
        <w:sectPr w:rsidR="0035019E">
          <w:headerReference w:type="default" r:id="rId10"/>
          <w:footerReference w:type="default" r:id="rId11"/>
          <w:pgSz w:w="11906" w:h="16838"/>
          <w:pgMar w:top="567" w:right="1134" w:bottom="1134" w:left="1417" w:header="1418" w:footer="1134" w:gutter="0"/>
          <w:pgNumType w:fmt="upperRoman" w:start="1"/>
          <w:cols w:space="720"/>
          <w:formProt w:val="0"/>
          <w:docGrid w:type="lines" w:linePitch="312"/>
        </w:sectPr>
      </w:pPr>
      <w:r>
        <w:rPr>
          <w:rFonts w:hint="eastAsia"/>
          <w:color w:val="000000"/>
          <w:sz w:val="21"/>
          <w:szCs w:val="21"/>
        </w:rPr>
        <w:t>本文件为首次发布。</w:t>
      </w:r>
    </w:p>
    <w:p w14:paraId="3DF3618D" w14:textId="77777777" w:rsidR="0035019E" w:rsidRDefault="00FB05F2">
      <w:pPr>
        <w:pStyle w:val="afffc"/>
      </w:pPr>
      <w:r>
        <w:lastRenderedPageBreak/>
        <w:t>高温气冷堆核动力厂余热排出系统试验导则</w:t>
      </w:r>
    </w:p>
    <w:p w14:paraId="3CF22A80" w14:textId="77777777" w:rsidR="0035019E" w:rsidRDefault="00FB05F2">
      <w:pPr>
        <w:pStyle w:val="a4"/>
        <w:ind w:left="0"/>
      </w:pPr>
      <w:bookmarkStart w:id="23" w:name="_Toc193044517"/>
      <w:bookmarkStart w:id="24" w:name="_Toc118462986"/>
      <w:bookmarkStart w:id="25" w:name="_Toc193047668"/>
      <w:bookmarkStart w:id="26" w:name="_Toc193044578"/>
      <w:bookmarkStart w:id="27" w:name="_Toc193046471"/>
      <w:bookmarkStart w:id="28" w:name="_Toc475687365"/>
      <w:bookmarkStart w:id="29" w:name="_Toc118463204"/>
      <w:bookmarkStart w:id="30" w:name="_Toc46228654"/>
      <w:bookmarkStart w:id="31" w:name="_Toc121127576"/>
      <w:bookmarkStart w:id="32" w:name="_Toc118463178"/>
      <w:bookmarkStart w:id="33" w:name="_Toc118463023"/>
      <w:r>
        <w:rPr>
          <w:rFonts w:hint="eastAsia"/>
        </w:rPr>
        <w:t>范围</w:t>
      </w:r>
      <w:bookmarkEnd w:id="23"/>
      <w:bookmarkEnd w:id="24"/>
      <w:bookmarkEnd w:id="25"/>
      <w:bookmarkEnd w:id="26"/>
      <w:bookmarkEnd w:id="27"/>
      <w:bookmarkEnd w:id="28"/>
      <w:bookmarkEnd w:id="29"/>
      <w:bookmarkEnd w:id="30"/>
      <w:bookmarkEnd w:id="31"/>
      <w:bookmarkEnd w:id="32"/>
      <w:bookmarkEnd w:id="33"/>
    </w:p>
    <w:p w14:paraId="315546E5" w14:textId="77777777" w:rsidR="0035019E" w:rsidRDefault="00FB05F2">
      <w:pPr>
        <w:pStyle w:val="aff9"/>
        <w:rPr>
          <w:rFonts w:hAnsi="宋体"/>
        </w:rPr>
      </w:pPr>
      <w:r>
        <w:rPr>
          <w:rFonts w:hAnsi="宋体" w:hint="eastAsia"/>
        </w:rPr>
        <w:t>本文件规定了高温气冷堆核动力厂余热排出系统试验的主要先决条件、工作内容及技术要求。</w:t>
      </w:r>
    </w:p>
    <w:p w14:paraId="2F8D833A" w14:textId="77777777" w:rsidR="0035019E" w:rsidRDefault="00FB05F2">
      <w:pPr>
        <w:pStyle w:val="aff9"/>
        <w:rPr>
          <w:rFonts w:hAnsi="宋体"/>
        </w:rPr>
      </w:pPr>
      <w:r>
        <w:rPr>
          <w:rFonts w:hAnsi="宋体" w:hint="eastAsia"/>
        </w:rPr>
        <w:t>本文件适用于高温气冷堆核动力厂余热排出系统的调试试验。</w:t>
      </w:r>
    </w:p>
    <w:p w14:paraId="62F01F36" w14:textId="77777777" w:rsidR="0035019E" w:rsidRDefault="00FB05F2">
      <w:pPr>
        <w:pStyle w:val="a4"/>
        <w:ind w:left="0"/>
      </w:pPr>
      <w:bookmarkStart w:id="34" w:name="_Toc121127577"/>
      <w:bookmarkStart w:id="35" w:name="_Toc46228655"/>
      <w:bookmarkStart w:id="36" w:name="_Toc118463205"/>
      <w:bookmarkStart w:id="37" w:name="_Toc193044518"/>
      <w:bookmarkStart w:id="38" w:name="_Toc118462987"/>
      <w:bookmarkStart w:id="39" w:name="_Toc193047669"/>
      <w:bookmarkStart w:id="40" w:name="_Toc475687366"/>
      <w:bookmarkStart w:id="41" w:name="_Toc193044579"/>
      <w:bookmarkStart w:id="42" w:name="_Toc118463024"/>
      <w:bookmarkStart w:id="43" w:name="_Toc118463179"/>
      <w:bookmarkStart w:id="44" w:name="_Toc193046472"/>
      <w:r>
        <w:rPr>
          <w:rFonts w:hint="eastAsia"/>
        </w:rPr>
        <w:t>规范性引用文件</w:t>
      </w:r>
      <w:bookmarkEnd w:id="34"/>
      <w:bookmarkEnd w:id="35"/>
      <w:bookmarkEnd w:id="36"/>
      <w:bookmarkEnd w:id="37"/>
      <w:bookmarkEnd w:id="38"/>
      <w:bookmarkEnd w:id="39"/>
      <w:bookmarkEnd w:id="40"/>
      <w:bookmarkEnd w:id="41"/>
      <w:bookmarkEnd w:id="42"/>
      <w:bookmarkEnd w:id="43"/>
      <w:bookmarkEnd w:id="44"/>
    </w:p>
    <w:p w14:paraId="30EA3DF9" w14:textId="77777777" w:rsidR="0035019E" w:rsidRDefault="00FB05F2">
      <w:pPr>
        <w:pStyle w:val="aff9"/>
        <w:rPr>
          <w:rFonts w:hAnsi="宋体"/>
        </w:rPr>
      </w:pPr>
      <w:r>
        <w:rPr>
          <w:rFonts w:hAnsi="宋体" w:hint="eastAsia"/>
        </w:rPr>
        <w:t>本文件没有规范性引用文件</w:t>
      </w:r>
      <w:r>
        <w:rPr>
          <w:rFonts w:hAnsi="宋体"/>
        </w:rPr>
        <w:t>。</w:t>
      </w:r>
    </w:p>
    <w:p w14:paraId="25584DC1" w14:textId="77777777" w:rsidR="0035019E" w:rsidRDefault="00FB05F2">
      <w:pPr>
        <w:pStyle w:val="a4"/>
        <w:ind w:left="0"/>
      </w:pPr>
      <w:bookmarkStart w:id="45" w:name="_Toc475687367"/>
      <w:bookmarkStart w:id="46" w:name="_Toc193047670"/>
      <w:bookmarkStart w:id="47" w:name="_Toc121127578"/>
      <w:bookmarkStart w:id="48" w:name="_Toc193044778"/>
      <w:bookmarkStart w:id="49" w:name="_Toc193045389"/>
      <w:bookmarkStart w:id="50" w:name="_Toc48056423"/>
      <w:bookmarkStart w:id="51" w:name="_Toc12215098"/>
      <w:bookmarkStart w:id="52" w:name="_Toc193043678"/>
      <w:bookmarkStart w:id="53" w:name="_Toc36497190"/>
      <w:bookmarkStart w:id="54" w:name="_Toc36497221"/>
      <w:bookmarkStart w:id="55" w:name="_Toc45443101"/>
      <w:bookmarkStart w:id="56" w:name="_Toc48056494"/>
      <w:bookmarkStart w:id="57" w:name="_Toc12215442"/>
      <w:bookmarkStart w:id="58" w:name="_Toc12216455"/>
      <w:bookmarkStart w:id="59" w:name="_Toc193046473"/>
      <w:bookmarkStart w:id="60" w:name="_Toc118462988"/>
      <w:bookmarkStart w:id="61" w:name="_Toc118463025"/>
      <w:bookmarkStart w:id="62" w:name="_Toc193044580"/>
      <w:bookmarkStart w:id="63" w:name="_Toc118463206"/>
      <w:bookmarkStart w:id="64" w:name="_Toc193044519"/>
      <w:bookmarkStart w:id="65" w:name="_Toc118463180"/>
      <w:bookmarkEnd w:id="45"/>
      <w:r>
        <w:rPr>
          <w:rFonts w:hint="eastAsia"/>
        </w:rPr>
        <w:t>术语和定义</w:t>
      </w:r>
      <w:bookmarkEnd w:id="46"/>
      <w:bookmarkEnd w:id="47"/>
    </w:p>
    <w:p w14:paraId="47ABA5DA" w14:textId="77777777" w:rsidR="0035019E" w:rsidRDefault="00FB05F2">
      <w:pPr>
        <w:pStyle w:val="aff9"/>
      </w:pPr>
      <w:r>
        <w:rPr>
          <w:rFonts w:hint="eastAsia"/>
        </w:rPr>
        <w:t>下列术语和定义适用于本文件。</w:t>
      </w:r>
    </w:p>
    <w:p w14:paraId="1F0673A4" w14:textId="77777777" w:rsidR="0035019E" w:rsidRPr="0012204C" w:rsidRDefault="00FB05F2" w:rsidP="0012204C">
      <w:pPr>
        <w:pStyle w:val="aff9"/>
        <w:ind w:firstLineChars="0" w:firstLine="0"/>
        <w:rPr>
          <w:rFonts w:ascii="黑体" w:eastAsia="黑体" w:hAnsi="黑体" w:cs="黑体"/>
        </w:rPr>
      </w:pPr>
      <w:r w:rsidRPr="0012204C">
        <w:rPr>
          <w:rFonts w:ascii="黑体" w:eastAsia="黑体" w:hAnsi="黑体" w:cs="黑体"/>
        </w:rPr>
        <w:t>3.1</w:t>
      </w:r>
    </w:p>
    <w:p w14:paraId="558F0D14" w14:textId="77777777" w:rsidR="0035019E" w:rsidRPr="0012204C" w:rsidRDefault="00FB05F2">
      <w:pPr>
        <w:pStyle w:val="aff9"/>
        <w:rPr>
          <w:rFonts w:ascii="黑体" w:eastAsia="黑体" w:hAnsi="黑体" w:cs="黑体"/>
        </w:rPr>
      </w:pPr>
      <w:r w:rsidRPr="0012204C">
        <w:rPr>
          <w:rFonts w:ascii="黑体" w:eastAsia="黑体" w:hAnsi="黑体" w:cs="黑体" w:hint="eastAsia"/>
        </w:rPr>
        <w:t xml:space="preserve">余热排出系统 </w:t>
      </w:r>
      <w:r>
        <w:rPr>
          <w:rFonts w:ascii="黑体" w:eastAsia="黑体" w:hAnsi="黑体" w:cs="黑体" w:hint="eastAsia"/>
        </w:rPr>
        <w:t>r</w:t>
      </w:r>
      <w:r w:rsidRPr="0012204C">
        <w:rPr>
          <w:rFonts w:ascii="黑体" w:eastAsia="黑体" w:hAnsi="黑体" w:cs="黑体"/>
        </w:rPr>
        <w:t>esidual heat removal system</w:t>
      </w:r>
    </w:p>
    <w:p w14:paraId="6BF5A270" w14:textId="77777777" w:rsidR="0035019E" w:rsidRDefault="00FB05F2">
      <w:pPr>
        <w:pStyle w:val="aff9"/>
      </w:pPr>
      <w:r>
        <w:rPr>
          <w:rFonts w:hint="eastAsia"/>
        </w:rPr>
        <w:t>在高温气冷堆运行期间排出反应堆舱室的热量，和屏蔽冷却水系统一起保证混凝土温度低于规定限值（温度不超过7</w:t>
      </w:r>
      <w:r>
        <w:t>0</w:t>
      </w:r>
      <w:r>
        <w:t>℃</w:t>
      </w:r>
      <w:r>
        <w:t>），事故条件下将反应堆的剩余发热载出堆舱并输送至最终热</w:t>
      </w:r>
      <w:proofErr w:type="gramStart"/>
      <w:r>
        <w:t>阱</w:t>
      </w:r>
      <w:proofErr w:type="gramEnd"/>
      <w:r>
        <w:t>。系统流程简图见</w:t>
      </w:r>
      <w:r>
        <w:rPr>
          <w:rFonts w:hint="eastAsia"/>
        </w:rPr>
        <w:t>附录A。</w:t>
      </w:r>
    </w:p>
    <w:p w14:paraId="49658B4A" w14:textId="77777777" w:rsidR="0035019E" w:rsidRDefault="00FB05F2">
      <w:pPr>
        <w:pStyle w:val="a4"/>
        <w:ind w:left="0"/>
      </w:pPr>
      <w:bookmarkStart w:id="66" w:name="_Toc12112757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目的和验收准则</w:t>
      </w:r>
      <w:bookmarkEnd w:id="66"/>
    </w:p>
    <w:p w14:paraId="579D5F3D" w14:textId="77777777" w:rsidR="0035019E" w:rsidRDefault="00FB05F2">
      <w:pPr>
        <w:pStyle w:val="a5"/>
      </w:pPr>
      <w:r>
        <w:t>目的</w:t>
      </w:r>
    </w:p>
    <w:p w14:paraId="4B5B7A55" w14:textId="77777777" w:rsidR="0035019E" w:rsidRDefault="00FB05F2">
      <w:pPr>
        <w:pStyle w:val="aff9"/>
        <w:rPr>
          <w:rFonts w:hAnsi="宋体"/>
        </w:rPr>
      </w:pPr>
      <w:r>
        <w:rPr>
          <w:rFonts w:hAnsi="宋体" w:hint="eastAsia"/>
        </w:rPr>
        <w:t>验证系统液位、温度、压力监测参数准确有效，报警功能正常。</w:t>
      </w:r>
    </w:p>
    <w:p w14:paraId="0F70DA2F" w14:textId="77777777" w:rsidR="0035019E" w:rsidRDefault="00FB05F2">
      <w:pPr>
        <w:pStyle w:val="aff9"/>
        <w:rPr>
          <w:rFonts w:hAnsi="宋体"/>
        </w:rPr>
      </w:pPr>
      <w:r>
        <w:rPr>
          <w:rFonts w:hAnsi="宋体" w:hint="eastAsia"/>
        </w:rPr>
        <w:t>验证余热排出系统在热态下能否建立稳定的自然循环。</w:t>
      </w:r>
    </w:p>
    <w:p w14:paraId="776F059A" w14:textId="77777777" w:rsidR="0035019E" w:rsidRDefault="00FB05F2">
      <w:pPr>
        <w:pStyle w:val="aff9"/>
        <w:rPr>
          <w:rFonts w:hAnsi="宋体"/>
        </w:rPr>
      </w:pPr>
      <w:r>
        <w:rPr>
          <w:rFonts w:hAnsi="宋体" w:hint="eastAsia"/>
        </w:rPr>
        <w:t>验证系统在反应堆满功率阶段能否满足冷却压力容器和反应堆腔室的能力。</w:t>
      </w:r>
    </w:p>
    <w:p w14:paraId="7936DE8D" w14:textId="77777777" w:rsidR="0035019E" w:rsidRDefault="00FB05F2">
      <w:pPr>
        <w:pStyle w:val="a5"/>
      </w:pPr>
      <w:r>
        <w:rPr>
          <w:rFonts w:hint="eastAsia"/>
        </w:rPr>
        <w:t>验收准则</w:t>
      </w:r>
    </w:p>
    <w:p w14:paraId="4904BFEF" w14:textId="77777777" w:rsidR="0035019E" w:rsidRPr="0012204C" w:rsidRDefault="00FB05F2">
      <w:pPr>
        <w:pStyle w:val="aff9"/>
        <w:ind w:firstLineChars="0" w:firstLine="0"/>
        <w:rPr>
          <w:rFonts w:ascii="黑体" w:eastAsia="黑体" w:hAnsi="黑体" w:cs="黑体"/>
        </w:rPr>
      </w:pPr>
      <w:r w:rsidRPr="0012204C">
        <w:rPr>
          <w:rFonts w:ascii="黑体" w:eastAsia="黑体" w:hAnsi="黑体" w:cs="黑体"/>
        </w:rPr>
        <w:t>4.2.1热态试验时验收准则</w:t>
      </w:r>
    </w:p>
    <w:p w14:paraId="5643FF47" w14:textId="77777777" w:rsidR="0035019E" w:rsidRDefault="00FB05F2">
      <w:pPr>
        <w:pStyle w:val="aff9"/>
        <w:rPr>
          <w:rFonts w:hAnsi="宋体"/>
        </w:rPr>
      </w:pPr>
      <w:r>
        <w:rPr>
          <w:rFonts w:hAnsi="宋体" w:hint="eastAsia"/>
        </w:rPr>
        <w:t>（1）热态试验时余热排出系统3套冷却回路投入使用，压力容器表面温度稳定后，冷却水流量满足设计要求。</w:t>
      </w:r>
    </w:p>
    <w:p w14:paraId="09A51D44" w14:textId="77777777" w:rsidR="0035019E" w:rsidRDefault="00FB05F2">
      <w:pPr>
        <w:pStyle w:val="aff9"/>
        <w:rPr>
          <w:rFonts w:hAnsi="宋体"/>
        </w:rPr>
      </w:pPr>
      <w:r>
        <w:rPr>
          <w:rFonts w:hAnsi="宋体" w:hint="eastAsia"/>
        </w:rPr>
        <w:t>（2）热态试验时余热排出系统2套冷却回路投入使用，压力容器表面温度稳定后，冷却水流量满足设计要求。</w:t>
      </w:r>
    </w:p>
    <w:p w14:paraId="1E605E58" w14:textId="77777777" w:rsidR="0035019E" w:rsidRDefault="00FB05F2">
      <w:pPr>
        <w:pStyle w:val="aff9"/>
        <w:rPr>
          <w:rFonts w:hAnsi="宋体"/>
        </w:rPr>
      </w:pPr>
      <w:r>
        <w:rPr>
          <w:rFonts w:hAnsi="宋体" w:hint="eastAsia"/>
        </w:rPr>
        <w:t>（3）膨胀水箱高、</w:t>
      </w:r>
      <w:proofErr w:type="gramStart"/>
      <w:r>
        <w:rPr>
          <w:rFonts w:hAnsi="宋体" w:hint="eastAsia"/>
        </w:rPr>
        <w:t>低液位</w:t>
      </w:r>
      <w:proofErr w:type="gramEnd"/>
      <w:r>
        <w:rPr>
          <w:rFonts w:hAnsi="宋体" w:hint="eastAsia"/>
        </w:rPr>
        <w:t>报警正常。</w:t>
      </w:r>
    </w:p>
    <w:p w14:paraId="721028FD" w14:textId="77777777" w:rsidR="0035019E" w:rsidRDefault="00FB05F2">
      <w:pPr>
        <w:pStyle w:val="aff9"/>
        <w:rPr>
          <w:rFonts w:hAnsi="宋体"/>
        </w:rPr>
      </w:pPr>
      <w:r>
        <w:rPr>
          <w:rFonts w:hAnsi="宋体" w:hint="eastAsia"/>
        </w:rPr>
        <w:t>（4）系统压力高、低报警信号正常。</w:t>
      </w:r>
    </w:p>
    <w:p w14:paraId="710155A3" w14:textId="77777777" w:rsidR="0035019E" w:rsidRDefault="00FB05F2">
      <w:pPr>
        <w:pStyle w:val="aff9"/>
        <w:rPr>
          <w:rFonts w:hAnsi="宋体"/>
        </w:rPr>
      </w:pPr>
      <w:r>
        <w:rPr>
          <w:rFonts w:hAnsi="宋体" w:hint="eastAsia"/>
        </w:rPr>
        <w:t>（5）冷却塔风阀开关动作正常、信号指示正确。</w:t>
      </w:r>
    </w:p>
    <w:p w14:paraId="5B3F456D" w14:textId="77777777" w:rsidR="0035019E" w:rsidRDefault="00FB05F2">
      <w:pPr>
        <w:pStyle w:val="aff9"/>
        <w:rPr>
          <w:rFonts w:hAnsi="宋体"/>
        </w:rPr>
      </w:pPr>
      <w:r>
        <w:rPr>
          <w:rFonts w:hAnsi="宋体" w:hint="eastAsia"/>
        </w:rPr>
        <w:t>（6）水冷</w:t>
      </w:r>
      <w:proofErr w:type="gramStart"/>
      <w:r>
        <w:rPr>
          <w:rFonts w:hAnsi="宋体" w:hint="eastAsia"/>
        </w:rPr>
        <w:t>壁出口</w:t>
      </w:r>
      <w:proofErr w:type="gramEnd"/>
      <w:r>
        <w:rPr>
          <w:rFonts w:hAnsi="宋体" w:hint="eastAsia"/>
        </w:rPr>
        <w:t>水温满足设计要求。</w:t>
      </w:r>
    </w:p>
    <w:p w14:paraId="25574024" w14:textId="77777777" w:rsidR="0035019E" w:rsidRPr="0012204C" w:rsidRDefault="00FB05F2">
      <w:pPr>
        <w:pStyle w:val="aff9"/>
        <w:ind w:firstLineChars="0" w:firstLine="0"/>
        <w:rPr>
          <w:rFonts w:ascii="黑体" w:eastAsia="黑体" w:hAnsi="黑体" w:cs="黑体"/>
        </w:rPr>
      </w:pPr>
      <w:r w:rsidRPr="0012204C">
        <w:rPr>
          <w:rFonts w:ascii="黑体" w:eastAsia="黑体" w:hAnsi="黑体" w:cs="黑体"/>
        </w:rPr>
        <w:t>4.2.2反应堆满功率时验收准则</w:t>
      </w:r>
    </w:p>
    <w:p w14:paraId="1F445AE1" w14:textId="77777777" w:rsidR="0035019E" w:rsidRDefault="00FB05F2">
      <w:pPr>
        <w:pStyle w:val="aff9"/>
        <w:rPr>
          <w:rFonts w:hAnsi="宋体"/>
        </w:rPr>
      </w:pPr>
      <w:r>
        <w:rPr>
          <w:rFonts w:hAnsi="宋体" w:hint="eastAsia"/>
        </w:rPr>
        <w:lastRenderedPageBreak/>
        <w:t>（1）反应堆满功率运行时余热排出系统3套冷却回路投入使用，水冷</w:t>
      </w:r>
      <w:proofErr w:type="gramStart"/>
      <w:r>
        <w:rPr>
          <w:rFonts w:hAnsi="宋体" w:hint="eastAsia"/>
        </w:rPr>
        <w:t>壁出口</w:t>
      </w:r>
      <w:proofErr w:type="gramEnd"/>
      <w:r>
        <w:rPr>
          <w:rFonts w:hAnsi="宋体" w:hint="eastAsia"/>
        </w:rPr>
        <w:t>水温及流量满足设计要求。</w:t>
      </w:r>
    </w:p>
    <w:p w14:paraId="1C5F2D40" w14:textId="77777777" w:rsidR="0035019E" w:rsidRDefault="00FB05F2">
      <w:pPr>
        <w:pStyle w:val="aff9"/>
        <w:rPr>
          <w:rFonts w:hAnsi="宋体"/>
        </w:rPr>
      </w:pPr>
      <w:r>
        <w:rPr>
          <w:rFonts w:hAnsi="宋体" w:hint="eastAsia"/>
        </w:rPr>
        <w:t>（2）反应堆满功率运行时余热排出系统2套冷却回路投入使用，水冷</w:t>
      </w:r>
      <w:proofErr w:type="gramStart"/>
      <w:r>
        <w:rPr>
          <w:rFonts w:hAnsi="宋体" w:hint="eastAsia"/>
        </w:rPr>
        <w:t>壁出口</w:t>
      </w:r>
      <w:proofErr w:type="gramEnd"/>
      <w:r>
        <w:rPr>
          <w:rFonts w:hAnsi="宋体" w:hint="eastAsia"/>
        </w:rPr>
        <w:t>水温及流量满足设计要求。</w:t>
      </w:r>
    </w:p>
    <w:p w14:paraId="0A57BCFB" w14:textId="77777777" w:rsidR="0035019E" w:rsidRDefault="00FB05F2">
      <w:pPr>
        <w:pStyle w:val="a4"/>
        <w:ind w:left="0"/>
      </w:pPr>
      <w:bookmarkStart w:id="67" w:name="_Toc121127580"/>
      <w:r>
        <w:t>先决条件</w:t>
      </w:r>
      <w:bookmarkEnd w:id="67"/>
    </w:p>
    <w:p w14:paraId="62F99CA8" w14:textId="77777777" w:rsidR="0035019E" w:rsidRPr="0012204C" w:rsidRDefault="00FB05F2">
      <w:pPr>
        <w:pStyle w:val="a5"/>
        <w:rPr>
          <w:rFonts w:hAnsi="黑体" w:cs="黑体"/>
        </w:rPr>
      </w:pPr>
      <w:r w:rsidRPr="0012204C">
        <w:rPr>
          <w:rFonts w:hAnsi="黑体" w:cs="黑体" w:hint="eastAsia"/>
        </w:rPr>
        <w:t>人员要求</w:t>
      </w:r>
    </w:p>
    <w:p w14:paraId="1CFBD112" w14:textId="77777777" w:rsidR="0035019E" w:rsidRDefault="00FB05F2">
      <w:pPr>
        <w:pStyle w:val="aff9"/>
        <w:ind w:firstLineChars="0"/>
      </w:pPr>
      <w:r>
        <w:rPr>
          <w:rFonts w:hint="eastAsia"/>
        </w:rPr>
        <w:t>（1）所有试验人员均已通过调试培训并取得相应授权。</w:t>
      </w:r>
    </w:p>
    <w:p w14:paraId="03905292" w14:textId="77777777" w:rsidR="0035019E" w:rsidRDefault="00FB05F2">
      <w:pPr>
        <w:pStyle w:val="aff9"/>
        <w:ind w:firstLineChars="0"/>
      </w:pPr>
      <w:r>
        <w:t>（</w:t>
      </w:r>
      <w:r>
        <w:rPr>
          <w:rFonts w:hint="eastAsia"/>
        </w:rPr>
        <w:t>2）试验人员应满足核电厂质保体系要求。</w:t>
      </w:r>
    </w:p>
    <w:p w14:paraId="52BC52E6" w14:textId="77777777" w:rsidR="0035019E" w:rsidRPr="0012204C" w:rsidRDefault="00FB05F2">
      <w:pPr>
        <w:pStyle w:val="a5"/>
        <w:rPr>
          <w:rFonts w:hAnsi="黑体" w:cs="黑体"/>
        </w:rPr>
      </w:pPr>
      <w:r w:rsidRPr="0012204C">
        <w:rPr>
          <w:rFonts w:hAnsi="黑体" w:cs="黑体" w:hint="eastAsia"/>
        </w:rPr>
        <w:t>文件要求</w:t>
      </w:r>
    </w:p>
    <w:p w14:paraId="1DC533AC" w14:textId="77777777" w:rsidR="0035019E" w:rsidRDefault="00FB05F2">
      <w:pPr>
        <w:pStyle w:val="aff9"/>
      </w:pPr>
      <w:r>
        <w:rPr>
          <w:rFonts w:hint="eastAsia"/>
        </w:rPr>
        <w:t>试验程序经过编、审、</w:t>
      </w:r>
      <w:proofErr w:type="gramStart"/>
      <w:r>
        <w:rPr>
          <w:rFonts w:hint="eastAsia"/>
        </w:rPr>
        <w:t>批已生效</w:t>
      </w:r>
      <w:proofErr w:type="gramEnd"/>
      <w:r>
        <w:rPr>
          <w:rFonts w:hint="eastAsia"/>
        </w:rPr>
        <w:t>。</w:t>
      </w:r>
    </w:p>
    <w:p w14:paraId="315C1976" w14:textId="77777777" w:rsidR="0035019E" w:rsidRPr="0012204C" w:rsidRDefault="00FB05F2">
      <w:pPr>
        <w:pStyle w:val="a5"/>
        <w:rPr>
          <w:rFonts w:hAnsi="黑体" w:cs="黑体"/>
        </w:rPr>
      </w:pPr>
      <w:r w:rsidRPr="0012204C">
        <w:rPr>
          <w:rFonts w:hAnsi="黑体" w:cs="黑体" w:hint="eastAsia"/>
        </w:rPr>
        <w:t>系统状态要求</w:t>
      </w:r>
    </w:p>
    <w:p w14:paraId="3549A4C0" w14:textId="77777777" w:rsidR="0035019E" w:rsidRDefault="00FB05F2">
      <w:pPr>
        <w:pStyle w:val="aff9"/>
      </w:pPr>
      <w:r>
        <w:rPr>
          <w:rFonts w:hint="eastAsia"/>
        </w:rPr>
        <w:t>（1）系统管道已吹扫或者冲洗合格，管道试压合格。</w:t>
      </w:r>
    </w:p>
    <w:p w14:paraId="65422E44" w14:textId="77777777" w:rsidR="0035019E" w:rsidRDefault="00FB05F2">
      <w:pPr>
        <w:pStyle w:val="aff9"/>
      </w:pPr>
      <w:r>
        <w:rPr>
          <w:rFonts w:hint="eastAsia"/>
        </w:rPr>
        <w:t>（</w:t>
      </w:r>
      <w:r>
        <w:t>2</w:t>
      </w:r>
      <w:r>
        <w:rPr>
          <w:rFonts w:hint="eastAsia"/>
        </w:rPr>
        <w:t>）系统仪表均已经校验合格且投运。</w:t>
      </w:r>
    </w:p>
    <w:p w14:paraId="36F5E2B6" w14:textId="77777777" w:rsidR="0035019E" w:rsidRDefault="00FB05F2">
      <w:pPr>
        <w:pStyle w:val="aff9"/>
      </w:pPr>
      <w:r>
        <w:rPr>
          <w:rFonts w:hint="eastAsia"/>
        </w:rPr>
        <w:t>（</w:t>
      </w:r>
      <w:r>
        <w:t>3</w:t>
      </w:r>
      <w:r>
        <w:rPr>
          <w:rFonts w:hint="eastAsia"/>
        </w:rPr>
        <w:t>）反应堆一回路温度和压力已经达到稳定状态。</w:t>
      </w:r>
    </w:p>
    <w:p w14:paraId="12072B33" w14:textId="77777777" w:rsidR="0035019E" w:rsidRDefault="00FB05F2">
      <w:pPr>
        <w:pStyle w:val="a4"/>
        <w:ind w:left="0"/>
      </w:pPr>
      <w:bookmarkStart w:id="68" w:name="_Toc121127581"/>
      <w:r>
        <w:rPr>
          <w:rFonts w:hint="eastAsia"/>
        </w:rPr>
        <w:t>试验内容</w:t>
      </w:r>
      <w:bookmarkEnd w:id="68"/>
    </w:p>
    <w:p w14:paraId="3810F727" w14:textId="77777777" w:rsidR="0035019E" w:rsidRPr="0012204C" w:rsidRDefault="00FB05F2">
      <w:pPr>
        <w:pStyle w:val="a5"/>
        <w:rPr>
          <w:rFonts w:hAnsi="黑体" w:cs="黑体"/>
        </w:rPr>
      </w:pPr>
      <w:r w:rsidRPr="0012204C">
        <w:rPr>
          <w:rFonts w:hAnsi="黑体" w:cs="黑体" w:hint="eastAsia"/>
        </w:rPr>
        <w:t>报警试验和阀门动作试验</w:t>
      </w:r>
    </w:p>
    <w:p w14:paraId="7DE672C6" w14:textId="77777777" w:rsidR="0035019E" w:rsidRDefault="00FB05F2">
      <w:pPr>
        <w:pStyle w:val="aff9"/>
      </w:pPr>
      <w:r>
        <w:rPr>
          <w:rFonts w:hint="eastAsia"/>
        </w:rPr>
        <w:t>（1）通过充排水验证膨胀水箱高、</w:t>
      </w:r>
      <w:proofErr w:type="gramStart"/>
      <w:r>
        <w:rPr>
          <w:rFonts w:hint="eastAsia"/>
        </w:rPr>
        <w:t>低液位</w:t>
      </w:r>
      <w:proofErr w:type="gramEnd"/>
      <w:r>
        <w:rPr>
          <w:rFonts w:hint="eastAsia"/>
        </w:rPr>
        <w:t>报警正常。</w:t>
      </w:r>
    </w:p>
    <w:p w14:paraId="0CCE0D72" w14:textId="77777777" w:rsidR="0035019E" w:rsidRDefault="00FB05F2">
      <w:pPr>
        <w:pStyle w:val="aff9"/>
      </w:pPr>
      <w:r>
        <w:rPr>
          <w:rFonts w:hint="eastAsia"/>
        </w:rPr>
        <w:t>（2）通过系统充排氮气验证系统压力高、低报警信号正常。</w:t>
      </w:r>
    </w:p>
    <w:p w14:paraId="57E67719" w14:textId="77777777" w:rsidR="0035019E" w:rsidRDefault="00FB05F2">
      <w:pPr>
        <w:pStyle w:val="aff9"/>
      </w:pPr>
      <w:r>
        <w:rPr>
          <w:rFonts w:hint="eastAsia"/>
        </w:rPr>
        <w:t>（3）开启、关闭冷却塔风阀，验证冷却塔风阀开关动作正常、信号指示正确。</w:t>
      </w:r>
    </w:p>
    <w:p w14:paraId="3F73EC20" w14:textId="77777777" w:rsidR="0035019E" w:rsidRPr="0012204C" w:rsidRDefault="00FB05F2">
      <w:pPr>
        <w:pStyle w:val="a5"/>
        <w:rPr>
          <w:rFonts w:hAnsi="黑体" w:cs="黑体"/>
        </w:rPr>
      </w:pPr>
      <w:r w:rsidRPr="0012204C">
        <w:rPr>
          <w:rFonts w:hAnsi="黑体" w:cs="黑体" w:hint="eastAsia"/>
        </w:rPr>
        <w:t>热态试验</w:t>
      </w:r>
    </w:p>
    <w:p w14:paraId="5D364CA2" w14:textId="77777777" w:rsidR="0035019E" w:rsidRDefault="00FB05F2">
      <w:pPr>
        <w:pStyle w:val="aff9"/>
        <w:ind w:firstLineChars="0" w:firstLine="0"/>
      </w:pPr>
      <w:r w:rsidRPr="0012204C">
        <w:rPr>
          <w:rFonts w:ascii="黑体" w:eastAsia="黑体" w:hAnsi="黑体" w:cs="黑体"/>
        </w:rPr>
        <w:t>6.2.1</w:t>
      </w:r>
      <w:r>
        <w:rPr>
          <w:rFonts w:hint="eastAsia"/>
        </w:rPr>
        <w:t>热态试验时余热排出系统3套冷却回路投入运行，稳定时记录以下数据：</w:t>
      </w:r>
    </w:p>
    <w:p w14:paraId="0726C7DC" w14:textId="77777777" w:rsidR="0035019E" w:rsidRDefault="00FB05F2">
      <w:pPr>
        <w:pStyle w:val="aff9"/>
      </w:pPr>
      <w:r>
        <w:rPr>
          <w:rFonts w:hint="eastAsia"/>
        </w:rPr>
        <w:t>（1）水冷壁冷却水进、出口温度；</w:t>
      </w:r>
    </w:p>
    <w:p w14:paraId="75CDF0B3" w14:textId="77777777" w:rsidR="0035019E" w:rsidRDefault="00FB05F2">
      <w:pPr>
        <w:pStyle w:val="aff9"/>
      </w:pPr>
      <w:r>
        <w:rPr>
          <w:rFonts w:hint="eastAsia"/>
        </w:rPr>
        <w:t>（2）膨胀水箱压力；</w:t>
      </w:r>
    </w:p>
    <w:p w14:paraId="7898028D" w14:textId="77777777" w:rsidR="0035019E" w:rsidRDefault="00FB05F2">
      <w:pPr>
        <w:pStyle w:val="aff9"/>
      </w:pPr>
      <w:r>
        <w:rPr>
          <w:rFonts w:hint="eastAsia"/>
        </w:rPr>
        <w:t>（3）每套冷却回路流量；</w:t>
      </w:r>
    </w:p>
    <w:p w14:paraId="7AA6E16A" w14:textId="77777777" w:rsidR="0035019E" w:rsidRDefault="00FB05F2">
      <w:pPr>
        <w:pStyle w:val="aff9"/>
      </w:pPr>
      <w:r>
        <w:rPr>
          <w:rFonts w:hint="eastAsia"/>
        </w:rPr>
        <w:t>（4）每个冷却塔进、出口空气温度。</w:t>
      </w:r>
    </w:p>
    <w:p w14:paraId="6F22ABFF" w14:textId="77777777" w:rsidR="0035019E" w:rsidRDefault="00FB05F2">
      <w:pPr>
        <w:pStyle w:val="aff9"/>
        <w:ind w:firstLineChars="0" w:firstLine="0"/>
      </w:pPr>
      <w:r w:rsidRPr="0012204C">
        <w:rPr>
          <w:rFonts w:ascii="黑体" w:eastAsia="黑体" w:hAnsi="黑体" w:cs="黑体"/>
        </w:rPr>
        <w:t>6.2.2</w:t>
      </w:r>
      <w:r>
        <w:rPr>
          <w:rFonts w:hint="eastAsia"/>
        </w:rPr>
        <w:t>热态试验时余热排出系统2套冷却回路投入运行，稳定时记录以下数据：</w:t>
      </w:r>
    </w:p>
    <w:p w14:paraId="202D45A8" w14:textId="77777777" w:rsidR="0035019E" w:rsidRDefault="00FB05F2">
      <w:pPr>
        <w:pStyle w:val="aff9"/>
      </w:pPr>
      <w:r>
        <w:rPr>
          <w:rFonts w:hint="eastAsia"/>
        </w:rPr>
        <w:t>（1）水冷壁冷却水进、出口温度；</w:t>
      </w:r>
    </w:p>
    <w:p w14:paraId="03D606CA" w14:textId="77777777" w:rsidR="0035019E" w:rsidRDefault="00FB05F2">
      <w:pPr>
        <w:pStyle w:val="aff9"/>
      </w:pPr>
      <w:r>
        <w:rPr>
          <w:rFonts w:hint="eastAsia"/>
        </w:rPr>
        <w:t>（2）膨胀水箱压力；</w:t>
      </w:r>
    </w:p>
    <w:p w14:paraId="44CF352B" w14:textId="77777777" w:rsidR="0035019E" w:rsidRDefault="00FB05F2">
      <w:pPr>
        <w:pStyle w:val="aff9"/>
      </w:pPr>
      <w:r>
        <w:rPr>
          <w:rFonts w:hint="eastAsia"/>
        </w:rPr>
        <w:t>（3）每套冷却回路流量；</w:t>
      </w:r>
    </w:p>
    <w:p w14:paraId="5C379EE4" w14:textId="77777777" w:rsidR="0035019E" w:rsidRDefault="00FB05F2">
      <w:pPr>
        <w:pStyle w:val="aff9"/>
      </w:pPr>
      <w:r>
        <w:rPr>
          <w:rFonts w:hint="eastAsia"/>
        </w:rPr>
        <w:t>（4）每个冷却塔进、出口空气温度</w:t>
      </w:r>
      <w:r>
        <w:t>。</w:t>
      </w:r>
    </w:p>
    <w:p w14:paraId="5CD77CB9" w14:textId="77777777" w:rsidR="0035019E" w:rsidRDefault="00FB05F2">
      <w:pPr>
        <w:pStyle w:val="aff9"/>
        <w:ind w:firstLineChars="0" w:firstLine="0"/>
      </w:pPr>
      <w:r w:rsidRPr="0012204C">
        <w:rPr>
          <w:rFonts w:ascii="黑体" w:eastAsia="黑体" w:hAnsi="黑体" w:cs="黑体"/>
        </w:rPr>
        <w:t>6.2.3</w:t>
      </w:r>
      <w:r>
        <w:rPr>
          <w:rFonts w:hint="eastAsia"/>
        </w:rPr>
        <w:t>反应堆满功率时余热排出系统3套冷却回路投入运行，稳定时记录以下数据：</w:t>
      </w:r>
    </w:p>
    <w:p w14:paraId="51D8B4A0" w14:textId="77777777" w:rsidR="0035019E" w:rsidRDefault="00FB05F2">
      <w:pPr>
        <w:pStyle w:val="aff9"/>
      </w:pPr>
      <w:r>
        <w:rPr>
          <w:rFonts w:hint="eastAsia"/>
        </w:rPr>
        <w:t>（1）水冷壁冷却水进、出口温度；</w:t>
      </w:r>
    </w:p>
    <w:p w14:paraId="01963BCA" w14:textId="77777777" w:rsidR="0035019E" w:rsidRDefault="00FB05F2">
      <w:pPr>
        <w:pStyle w:val="aff9"/>
      </w:pPr>
      <w:r>
        <w:rPr>
          <w:rFonts w:hint="eastAsia"/>
        </w:rPr>
        <w:t>（2）膨胀水箱压力；</w:t>
      </w:r>
    </w:p>
    <w:p w14:paraId="7B8069CE" w14:textId="77777777" w:rsidR="0035019E" w:rsidRDefault="00FB05F2">
      <w:pPr>
        <w:pStyle w:val="aff9"/>
      </w:pPr>
      <w:r>
        <w:rPr>
          <w:rFonts w:hint="eastAsia"/>
        </w:rPr>
        <w:t>（3）每套冷却回路流量；</w:t>
      </w:r>
    </w:p>
    <w:p w14:paraId="0867F13C" w14:textId="77777777" w:rsidR="0035019E" w:rsidRDefault="00FB05F2">
      <w:pPr>
        <w:pStyle w:val="aff9"/>
      </w:pPr>
      <w:r>
        <w:rPr>
          <w:rFonts w:hint="eastAsia"/>
        </w:rPr>
        <w:t>（4）每个冷却塔进、出口空气温度。</w:t>
      </w:r>
    </w:p>
    <w:p w14:paraId="169E514F" w14:textId="77777777" w:rsidR="0035019E" w:rsidRDefault="00FB05F2">
      <w:pPr>
        <w:pStyle w:val="aff9"/>
        <w:ind w:firstLineChars="0" w:firstLine="0"/>
      </w:pPr>
      <w:r w:rsidRPr="0012204C">
        <w:rPr>
          <w:rFonts w:ascii="黑体" w:eastAsia="黑体" w:hAnsi="黑体" w:cs="黑体"/>
        </w:rPr>
        <w:lastRenderedPageBreak/>
        <w:t>6.2.4</w:t>
      </w:r>
      <w:r>
        <w:rPr>
          <w:rFonts w:hint="eastAsia"/>
        </w:rPr>
        <w:t>反应堆满功率时余热排出系统2套冷却回路投入运行，稳定时记录以下数据：</w:t>
      </w:r>
    </w:p>
    <w:p w14:paraId="52A1F440" w14:textId="77777777" w:rsidR="0035019E" w:rsidRDefault="00FB05F2">
      <w:pPr>
        <w:pStyle w:val="aff9"/>
      </w:pPr>
      <w:r>
        <w:rPr>
          <w:rFonts w:hint="eastAsia"/>
        </w:rPr>
        <w:t>（1）水冷壁冷却水进、出口温度；</w:t>
      </w:r>
    </w:p>
    <w:p w14:paraId="2A243011" w14:textId="77777777" w:rsidR="0035019E" w:rsidRDefault="00FB05F2">
      <w:pPr>
        <w:pStyle w:val="aff9"/>
      </w:pPr>
      <w:r>
        <w:rPr>
          <w:rFonts w:hint="eastAsia"/>
        </w:rPr>
        <w:t>（2）膨胀水箱压力；</w:t>
      </w:r>
    </w:p>
    <w:p w14:paraId="4954B678" w14:textId="77777777" w:rsidR="0035019E" w:rsidRDefault="00FB05F2">
      <w:pPr>
        <w:pStyle w:val="aff9"/>
      </w:pPr>
      <w:r>
        <w:rPr>
          <w:rFonts w:hint="eastAsia"/>
        </w:rPr>
        <w:t>（3）每套冷却回路流量；</w:t>
      </w:r>
    </w:p>
    <w:p w14:paraId="51E8FF92" w14:textId="77777777" w:rsidR="0035019E" w:rsidRDefault="00FB05F2">
      <w:pPr>
        <w:pStyle w:val="aff9"/>
      </w:pPr>
      <w:r>
        <w:rPr>
          <w:rFonts w:hint="eastAsia"/>
        </w:rPr>
        <w:t>（4）每个冷却塔进、出口空气温度。</w:t>
      </w:r>
    </w:p>
    <w:p w14:paraId="72A1660B" w14:textId="77777777" w:rsidR="0035019E" w:rsidRPr="0012204C" w:rsidRDefault="00FB05F2">
      <w:pPr>
        <w:pStyle w:val="a5"/>
        <w:rPr>
          <w:rFonts w:hAnsi="黑体" w:cs="黑体"/>
          <w:szCs w:val="20"/>
        </w:rPr>
      </w:pPr>
      <w:r w:rsidRPr="0012204C">
        <w:rPr>
          <w:rFonts w:hAnsi="黑体" w:cs="黑体" w:hint="eastAsia"/>
          <w:szCs w:val="20"/>
        </w:rPr>
        <w:t>系统载热能力计算</w:t>
      </w:r>
    </w:p>
    <w:p w14:paraId="34D4A451" w14:textId="77777777" w:rsidR="0035019E" w:rsidRDefault="00FB05F2">
      <w:pPr>
        <w:pStyle w:val="aff9"/>
      </w:pPr>
      <w:r>
        <w:rPr>
          <w:rFonts w:hint="eastAsia"/>
        </w:rPr>
        <w:t>计算热态功能试验时和反应堆满功率时系统总的载热能力。计算公式如下：</w:t>
      </w:r>
    </w:p>
    <w:p w14:paraId="5CB075B1" w14:textId="77777777" w:rsidR="0035019E" w:rsidRDefault="00FB05F2">
      <w:pPr>
        <w:pStyle w:val="aff9"/>
      </w:pPr>
      <w:r>
        <w:t>P=</w:t>
      </w:r>
      <w:r>
        <w:t>Σ</w:t>
      </w:r>
      <w:r>
        <w:t>[m*</w:t>
      </w:r>
      <w:proofErr w:type="spellStart"/>
      <w:r>
        <w:t>Cw</w:t>
      </w:r>
      <w:proofErr w:type="spellEnd"/>
      <w:r>
        <w:t>*(Tout-Tin)]</w:t>
      </w:r>
    </w:p>
    <w:p w14:paraId="789FDEF7" w14:textId="77777777" w:rsidR="0035019E" w:rsidRDefault="00FB05F2">
      <w:pPr>
        <w:pStyle w:val="aff9"/>
      </w:pPr>
      <w:r>
        <w:rPr>
          <w:rFonts w:hint="eastAsia"/>
        </w:rPr>
        <w:t>P：</w:t>
      </w:r>
      <w:proofErr w:type="gramStart"/>
      <w:r>
        <w:rPr>
          <w:rFonts w:hint="eastAsia"/>
        </w:rPr>
        <w:t>总载热功率</w:t>
      </w:r>
      <w:proofErr w:type="gramEnd"/>
      <w:r>
        <w:rPr>
          <w:rFonts w:hint="eastAsia"/>
        </w:rPr>
        <w:t>；</w:t>
      </w:r>
    </w:p>
    <w:p w14:paraId="28399781" w14:textId="77777777" w:rsidR="0035019E" w:rsidRDefault="00FB05F2">
      <w:pPr>
        <w:pStyle w:val="aff9"/>
      </w:pPr>
      <w:r>
        <w:rPr>
          <w:rFonts w:hint="eastAsia"/>
        </w:rPr>
        <w:t>m：单套余热排出系统质量流量；</w:t>
      </w:r>
    </w:p>
    <w:p w14:paraId="4475E763" w14:textId="77777777" w:rsidR="0035019E" w:rsidRDefault="00FB05F2">
      <w:pPr>
        <w:pStyle w:val="aff9"/>
      </w:pPr>
      <w:r>
        <w:rPr>
          <w:rFonts w:hint="eastAsia"/>
        </w:rPr>
        <w:t>Tout：余热排出系统水冷壁冷却水出口温度；</w:t>
      </w:r>
    </w:p>
    <w:p w14:paraId="7A3A8B4A" w14:textId="77777777" w:rsidR="0035019E" w:rsidRDefault="00FB05F2">
      <w:pPr>
        <w:pStyle w:val="aff9"/>
      </w:pPr>
      <w:r>
        <w:rPr>
          <w:rFonts w:hint="eastAsia"/>
        </w:rPr>
        <w:t>Tin：余热排出系统水冷壁冷却水进口温度；</w:t>
      </w:r>
    </w:p>
    <w:p w14:paraId="32FE9D48" w14:textId="77777777" w:rsidR="0035019E" w:rsidRDefault="00FB05F2">
      <w:pPr>
        <w:pStyle w:val="aff9"/>
      </w:pPr>
      <w:proofErr w:type="spellStart"/>
      <w:r>
        <w:rPr>
          <w:rFonts w:hint="eastAsia"/>
        </w:rPr>
        <w:t>C</w:t>
      </w:r>
      <w:r>
        <w:t>w</w:t>
      </w:r>
      <w:proofErr w:type="spellEnd"/>
      <w:r>
        <w:rPr>
          <w:rFonts w:hint="eastAsia"/>
        </w:rPr>
        <w:t>：为水的比热容。</w:t>
      </w:r>
    </w:p>
    <w:p w14:paraId="6CE48F52" w14:textId="77777777" w:rsidR="0035019E" w:rsidRDefault="0035019E">
      <w:pPr>
        <w:pStyle w:val="aff9"/>
      </w:pPr>
    </w:p>
    <w:p w14:paraId="175B3786" w14:textId="77777777" w:rsidR="0035019E" w:rsidRDefault="00FB05F2">
      <w:pPr>
        <w:pStyle w:val="aff9"/>
      </w:pPr>
      <w:r>
        <w:br w:type="page"/>
      </w:r>
    </w:p>
    <w:p w14:paraId="216DD78A" w14:textId="77777777" w:rsidR="0035019E" w:rsidRDefault="00FB05F2">
      <w:pPr>
        <w:pStyle w:val="af8"/>
      </w:pPr>
      <w:r>
        <w:lastRenderedPageBreak/>
        <w:br/>
      </w:r>
      <w:bookmarkStart w:id="69" w:name="_Toc193046483"/>
      <w:bookmarkStart w:id="70" w:name="_Toc118463035"/>
      <w:bookmarkStart w:id="71" w:name="_Toc46228658"/>
      <w:bookmarkStart w:id="72" w:name="_Toc193044528"/>
      <w:bookmarkStart w:id="73" w:name="_Toc193044589"/>
      <w:bookmarkStart w:id="74" w:name="_Toc118463019"/>
      <w:bookmarkStart w:id="75" w:name="_Toc118463190"/>
      <w:bookmarkStart w:id="76" w:name="_Toc118463216"/>
      <w:bookmarkStart w:id="77" w:name="_Toc193047681"/>
      <w:bookmarkStart w:id="78" w:name="_Toc121127582"/>
      <w:r>
        <w:rPr>
          <w:rFonts w:hint="eastAsia"/>
        </w:rPr>
        <w:t>（资料性）</w:t>
      </w:r>
      <w:r>
        <w:br/>
      </w:r>
      <w:bookmarkEnd w:id="69"/>
      <w:bookmarkEnd w:id="70"/>
      <w:bookmarkEnd w:id="71"/>
      <w:bookmarkEnd w:id="72"/>
      <w:bookmarkEnd w:id="73"/>
      <w:bookmarkEnd w:id="74"/>
      <w:bookmarkEnd w:id="75"/>
      <w:bookmarkEnd w:id="76"/>
      <w:bookmarkEnd w:id="77"/>
      <w:r>
        <w:t>余热排出系统流程简图</w:t>
      </w:r>
      <w:bookmarkEnd w:id="78"/>
    </w:p>
    <w:p w14:paraId="0DF28408" w14:textId="77777777" w:rsidR="0035019E" w:rsidRDefault="00FB05F2">
      <w:pPr>
        <w:pStyle w:val="aff9"/>
      </w:pPr>
      <w:r>
        <w:rPr>
          <w:noProof/>
        </w:rPr>
        <w:drawing>
          <wp:inline distT="0" distB="0" distL="0" distR="0" wp14:anchorId="7E758A11" wp14:editId="7E3EBA4A">
            <wp:extent cx="5160645" cy="5160645"/>
            <wp:effectExtent l="0" t="0" r="1905" b="1905"/>
            <wp:docPr id="7" name="图片 7" descr="C:\Users\Frodo\Documents\WeChat Files\Frodo_9527\FileStorage\Temp\16702066734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Frodo\Documents\WeChat Files\Frodo_9527\FileStorage\Temp\167020667349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160645" cy="5160645"/>
                    </a:xfrm>
                    <a:prstGeom prst="rect">
                      <a:avLst/>
                    </a:prstGeom>
                    <a:noFill/>
                    <a:ln>
                      <a:noFill/>
                    </a:ln>
                  </pic:spPr>
                </pic:pic>
              </a:graphicData>
            </a:graphic>
          </wp:inline>
        </w:drawing>
      </w:r>
    </w:p>
    <w:p w14:paraId="2BBFD18B" w14:textId="77777777" w:rsidR="0035019E" w:rsidRDefault="00FB05F2">
      <w:pPr>
        <w:pStyle w:val="affffff6"/>
        <w:framePr w:wrap="around"/>
      </w:pPr>
      <w:r>
        <w:t>_________________________________</w:t>
      </w:r>
    </w:p>
    <w:sectPr w:rsidR="0035019E">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4F89" w14:textId="77777777" w:rsidR="000E6BCC" w:rsidRDefault="000E6BCC">
      <w:r>
        <w:separator/>
      </w:r>
    </w:p>
  </w:endnote>
  <w:endnote w:type="continuationSeparator" w:id="0">
    <w:p w14:paraId="3008FD12" w14:textId="77777777" w:rsidR="000E6BCC" w:rsidRDefault="000E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BAA74" w14:textId="77777777" w:rsidR="0035019E" w:rsidRDefault="00FB05F2">
    <w:pPr>
      <w:pStyle w:val="afff8"/>
    </w:pPr>
    <w:r>
      <w:fldChar w:fldCharType="begin"/>
    </w:r>
    <w:r>
      <w:instrText xml:space="preserve"> PAGE  \* MERGEFORMAT </w:instrText>
    </w:r>
    <w:r>
      <w:fldChar w:fldCharType="separate"/>
    </w:r>
    <w:r w:rsidR="0012204C">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8FAA" w14:textId="77777777" w:rsidR="0035019E" w:rsidRDefault="00FB05F2">
    <w:pPr>
      <w:pStyle w:val="affff5"/>
    </w:pPr>
    <w:r>
      <w:fldChar w:fldCharType="begin"/>
    </w:r>
    <w:r>
      <w:instrText xml:space="preserve"> PAGE  \* MERGEFORMAT </w:instrText>
    </w:r>
    <w:r>
      <w:fldChar w:fldCharType="separate"/>
    </w:r>
    <w:r w:rsidR="0012204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3B8D" w14:textId="77777777" w:rsidR="000E6BCC" w:rsidRDefault="000E6BCC">
      <w:r>
        <w:separator/>
      </w:r>
    </w:p>
  </w:footnote>
  <w:footnote w:type="continuationSeparator" w:id="0">
    <w:p w14:paraId="1A4DB874" w14:textId="77777777" w:rsidR="000E6BCC" w:rsidRDefault="000E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C6185" w14:textId="77777777" w:rsidR="0035019E" w:rsidRDefault="00FB05F2">
    <w:pPr>
      <w:pStyle w:val="affff9"/>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2A4DA" w14:textId="77777777" w:rsidR="0035019E" w:rsidRDefault="00FB05F2">
    <w:pPr>
      <w:pStyle w:val="affff7"/>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1134"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b"/>
      <w:lvlText w:val="%1)"/>
      <w:lvlJc w:val="left"/>
      <w:pPr>
        <w:tabs>
          <w:tab w:val="left" w:pos="839"/>
        </w:tabs>
        <w:ind w:left="839" w:hanging="419"/>
      </w:pPr>
      <w:rPr>
        <w:rFonts w:ascii="宋体" w:eastAsia="宋体" w:hint="eastAsia"/>
        <w:b w:val="0"/>
        <w:i w:val="0"/>
        <w:sz w:val="21"/>
      </w:rPr>
    </w:lvl>
    <w:lvl w:ilvl="1">
      <w:start w:val="1"/>
      <w:numFmt w:val="decimal"/>
      <w:pStyle w:val="afc"/>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1709377796">
    <w:abstractNumId w:val="8"/>
  </w:num>
  <w:num w:numId="2" w16cid:durableId="2037778519">
    <w:abstractNumId w:val="1"/>
  </w:num>
  <w:num w:numId="3" w16cid:durableId="1952199027">
    <w:abstractNumId w:val="0"/>
  </w:num>
  <w:num w:numId="4" w16cid:durableId="1539199477">
    <w:abstractNumId w:val="15"/>
  </w:num>
  <w:num w:numId="5" w16cid:durableId="1663583752">
    <w:abstractNumId w:val="13"/>
  </w:num>
  <w:num w:numId="6" w16cid:durableId="292756039">
    <w:abstractNumId w:val="7"/>
  </w:num>
  <w:num w:numId="7" w16cid:durableId="107507154">
    <w:abstractNumId w:val="5"/>
  </w:num>
  <w:num w:numId="8" w16cid:durableId="375666573">
    <w:abstractNumId w:val="9"/>
  </w:num>
  <w:num w:numId="9" w16cid:durableId="511068914">
    <w:abstractNumId w:val="10"/>
  </w:num>
  <w:num w:numId="10" w16cid:durableId="1192262017">
    <w:abstractNumId w:val="2"/>
  </w:num>
  <w:num w:numId="11" w16cid:durableId="49497365">
    <w:abstractNumId w:val="4"/>
  </w:num>
  <w:num w:numId="12" w16cid:durableId="1798984881">
    <w:abstractNumId w:val="14"/>
  </w:num>
  <w:num w:numId="13" w16cid:durableId="950891859">
    <w:abstractNumId w:val="12"/>
  </w:num>
  <w:num w:numId="14" w16cid:durableId="563223302">
    <w:abstractNumId w:val="6"/>
  </w:num>
  <w:num w:numId="15" w16cid:durableId="1636447458">
    <w:abstractNumId w:val="11"/>
  </w:num>
  <w:num w:numId="16" w16cid:durableId="2080775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8E"/>
    <w:rsid w:val="00000244"/>
    <w:rsid w:val="0000185F"/>
    <w:rsid w:val="0000586F"/>
    <w:rsid w:val="00013CBE"/>
    <w:rsid w:val="00013D86"/>
    <w:rsid w:val="00013E02"/>
    <w:rsid w:val="0002143C"/>
    <w:rsid w:val="00023288"/>
    <w:rsid w:val="00025A65"/>
    <w:rsid w:val="00026C31"/>
    <w:rsid w:val="00027280"/>
    <w:rsid w:val="00027D79"/>
    <w:rsid w:val="000320A7"/>
    <w:rsid w:val="00035925"/>
    <w:rsid w:val="00036803"/>
    <w:rsid w:val="0004202E"/>
    <w:rsid w:val="00052B4C"/>
    <w:rsid w:val="000547F1"/>
    <w:rsid w:val="000607A3"/>
    <w:rsid w:val="00067CDF"/>
    <w:rsid w:val="00073B8B"/>
    <w:rsid w:val="00074FBE"/>
    <w:rsid w:val="000762F7"/>
    <w:rsid w:val="00081117"/>
    <w:rsid w:val="00083A09"/>
    <w:rsid w:val="0009005E"/>
    <w:rsid w:val="00092857"/>
    <w:rsid w:val="000968EF"/>
    <w:rsid w:val="000A20A9"/>
    <w:rsid w:val="000A48B1"/>
    <w:rsid w:val="000B24B6"/>
    <w:rsid w:val="000B3143"/>
    <w:rsid w:val="000C6B05"/>
    <w:rsid w:val="000C6DD6"/>
    <w:rsid w:val="000C729C"/>
    <w:rsid w:val="000C73D4"/>
    <w:rsid w:val="000D3D4C"/>
    <w:rsid w:val="000D4F51"/>
    <w:rsid w:val="000D718B"/>
    <w:rsid w:val="000E0C46"/>
    <w:rsid w:val="000E6BCC"/>
    <w:rsid w:val="000F030C"/>
    <w:rsid w:val="000F129C"/>
    <w:rsid w:val="000F151E"/>
    <w:rsid w:val="001056DE"/>
    <w:rsid w:val="00111A2B"/>
    <w:rsid w:val="001124C0"/>
    <w:rsid w:val="0012204C"/>
    <w:rsid w:val="00126F80"/>
    <w:rsid w:val="001275E3"/>
    <w:rsid w:val="0013175F"/>
    <w:rsid w:val="00142F88"/>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4A2F"/>
    <w:rsid w:val="001D7FFB"/>
    <w:rsid w:val="001E0380"/>
    <w:rsid w:val="001E13B1"/>
    <w:rsid w:val="001E45E6"/>
    <w:rsid w:val="001F21CE"/>
    <w:rsid w:val="001F3A19"/>
    <w:rsid w:val="0023247F"/>
    <w:rsid w:val="00234467"/>
    <w:rsid w:val="00237030"/>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019E"/>
    <w:rsid w:val="0035323B"/>
    <w:rsid w:val="003609D2"/>
    <w:rsid w:val="00363DBD"/>
    <w:rsid w:val="00363F22"/>
    <w:rsid w:val="00365F4E"/>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5E9"/>
    <w:rsid w:val="00402FC1"/>
    <w:rsid w:val="004137A0"/>
    <w:rsid w:val="00425082"/>
    <w:rsid w:val="00431DEB"/>
    <w:rsid w:val="00446B29"/>
    <w:rsid w:val="00453F9A"/>
    <w:rsid w:val="00463C66"/>
    <w:rsid w:val="00465EB3"/>
    <w:rsid w:val="004718A3"/>
    <w:rsid w:val="00471E91"/>
    <w:rsid w:val="00474675"/>
    <w:rsid w:val="0047470C"/>
    <w:rsid w:val="00476553"/>
    <w:rsid w:val="00480EE2"/>
    <w:rsid w:val="00486A08"/>
    <w:rsid w:val="004A35F9"/>
    <w:rsid w:val="004A3A78"/>
    <w:rsid w:val="004B24C1"/>
    <w:rsid w:val="004B2707"/>
    <w:rsid w:val="004C292F"/>
    <w:rsid w:val="00500F24"/>
    <w:rsid w:val="0050213F"/>
    <w:rsid w:val="00510280"/>
    <w:rsid w:val="00513D73"/>
    <w:rsid w:val="00514A43"/>
    <w:rsid w:val="00514A9A"/>
    <w:rsid w:val="005174E5"/>
    <w:rsid w:val="00522393"/>
    <w:rsid w:val="00522620"/>
    <w:rsid w:val="00525656"/>
    <w:rsid w:val="005258B8"/>
    <w:rsid w:val="005322AC"/>
    <w:rsid w:val="00534C02"/>
    <w:rsid w:val="0054264B"/>
    <w:rsid w:val="00543786"/>
    <w:rsid w:val="005462C9"/>
    <w:rsid w:val="005478CB"/>
    <w:rsid w:val="005533D7"/>
    <w:rsid w:val="005703DE"/>
    <w:rsid w:val="0058464E"/>
    <w:rsid w:val="0059238E"/>
    <w:rsid w:val="005A01CB"/>
    <w:rsid w:val="005A58FF"/>
    <w:rsid w:val="005A5EAF"/>
    <w:rsid w:val="005A64C0"/>
    <w:rsid w:val="005B3C11"/>
    <w:rsid w:val="005C1C28"/>
    <w:rsid w:val="005C6DB5"/>
    <w:rsid w:val="005C7D88"/>
    <w:rsid w:val="005E19E7"/>
    <w:rsid w:val="005F3497"/>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1593"/>
    <w:rsid w:val="006B4E13"/>
    <w:rsid w:val="006B75DD"/>
    <w:rsid w:val="006C6141"/>
    <w:rsid w:val="006C67E0"/>
    <w:rsid w:val="006C7ABA"/>
    <w:rsid w:val="006C7F43"/>
    <w:rsid w:val="006D0D60"/>
    <w:rsid w:val="006D1122"/>
    <w:rsid w:val="006D3C00"/>
    <w:rsid w:val="006E3675"/>
    <w:rsid w:val="006E4A7F"/>
    <w:rsid w:val="006E67EC"/>
    <w:rsid w:val="006F0F78"/>
    <w:rsid w:val="00704DF6"/>
    <w:rsid w:val="0070651C"/>
    <w:rsid w:val="007132A3"/>
    <w:rsid w:val="00716421"/>
    <w:rsid w:val="00724EFB"/>
    <w:rsid w:val="007265AD"/>
    <w:rsid w:val="00733942"/>
    <w:rsid w:val="00734142"/>
    <w:rsid w:val="007408C2"/>
    <w:rsid w:val="007419C3"/>
    <w:rsid w:val="007467A7"/>
    <w:rsid w:val="007469DD"/>
    <w:rsid w:val="0074741B"/>
    <w:rsid w:val="0074759E"/>
    <w:rsid w:val="007478EA"/>
    <w:rsid w:val="0075415C"/>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CF1"/>
    <w:rsid w:val="007F758D"/>
    <w:rsid w:val="007F7D52"/>
    <w:rsid w:val="00802DCA"/>
    <w:rsid w:val="0080654C"/>
    <w:rsid w:val="008071C6"/>
    <w:rsid w:val="00817A00"/>
    <w:rsid w:val="008324D0"/>
    <w:rsid w:val="00835DB3"/>
    <w:rsid w:val="0083617B"/>
    <w:rsid w:val="008371BD"/>
    <w:rsid w:val="00846CEB"/>
    <w:rsid w:val="0085030F"/>
    <w:rsid w:val="008504A8"/>
    <w:rsid w:val="0085282E"/>
    <w:rsid w:val="00854506"/>
    <w:rsid w:val="0087198C"/>
    <w:rsid w:val="00872C1F"/>
    <w:rsid w:val="00873B42"/>
    <w:rsid w:val="008856D8"/>
    <w:rsid w:val="00892E82"/>
    <w:rsid w:val="008A29F0"/>
    <w:rsid w:val="008B05C4"/>
    <w:rsid w:val="008C174D"/>
    <w:rsid w:val="008C1B58"/>
    <w:rsid w:val="008C39AE"/>
    <w:rsid w:val="008C590D"/>
    <w:rsid w:val="008E031B"/>
    <w:rsid w:val="008E6CD6"/>
    <w:rsid w:val="008E7029"/>
    <w:rsid w:val="008E7EF6"/>
    <w:rsid w:val="008F1F98"/>
    <w:rsid w:val="008F3C5F"/>
    <w:rsid w:val="008F4F90"/>
    <w:rsid w:val="008F6758"/>
    <w:rsid w:val="009040DD"/>
    <w:rsid w:val="00905B47"/>
    <w:rsid w:val="0091331C"/>
    <w:rsid w:val="009279DE"/>
    <w:rsid w:val="00930116"/>
    <w:rsid w:val="00935A4B"/>
    <w:rsid w:val="009371B6"/>
    <w:rsid w:val="0094212C"/>
    <w:rsid w:val="0094678A"/>
    <w:rsid w:val="0095099A"/>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65F9"/>
    <w:rsid w:val="00A07D2F"/>
    <w:rsid w:val="00A07F34"/>
    <w:rsid w:val="00A22154"/>
    <w:rsid w:val="00A25C38"/>
    <w:rsid w:val="00A36BBE"/>
    <w:rsid w:val="00A4307A"/>
    <w:rsid w:val="00A47EBB"/>
    <w:rsid w:val="00A51CDD"/>
    <w:rsid w:val="00A6730D"/>
    <w:rsid w:val="00A67F90"/>
    <w:rsid w:val="00A71625"/>
    <w:rsid w:val="00A71B9B"/>
    <w:rsid w:val="00A74791"/>
    <w:rsid w:val="00A751C7"/>
    <w:rsid w:val="00A75B2E"/>
    <w:rsid w:val="00A87844"/>
    <w:rsid w:val="00A94DBA"/>
    <w:rsid w:val="00AA038C"/>
    <w:rsid w:val="00AA7A09"/>
    <w:rsid w:val="00AB3B50"/>
    <w:rsid w:val="00AC05B1"/>
    <w:rsid w:val="00AD28B2"/>
    <w:rsid w:val="00AD356C"/>
    <w:rsid w:val="00AE2914"/>
    <w:rsid w:val="00AE6D15"/>
    <w:rsid w:val="00AF46E2"/>
    <w:rsid w:val="00B010D3"/>
    <w:rsid w:val="00B04182"/>
    <w:rsid w:val="00B07AE3"/>
    <w:rsid w:val="00B11430"/>
    <w:rsid w:val="00B1742F"/>
    <w:rsid w:val="00B2012E"/>
    <w:rsid w:val="00B21C01"/>
    <w:rsid w:val="00B339FE"/>
    <w:rsid w:val="00B353EB"/>
    <w:rsid w:val="00B439C4"/>
    <w:rsid w:val="00B4535E"/>
    <w:rsid w:val="00B52A8C"/>
    <w:rsid w:val="00B636A8"/>
    <w:rsid w:val="00B63CE3"/>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0DE8"/>
    <w:rsid w:val="00C314E1"/>
    <w:rsid w:val="00C34397"/>
    <w:rsid w:val="00C4095D"/>
    <w:rsid w:val="00C601D2"/>
    <w:rsid w:val="00C65BCC"/>
    <w:rsid w:val="00C66970"/>
    <w:rsid w:val="00C8691C"/>
    <w:rsid w:val="00C94AC1"/>
    <w:rsid w:val="00CA168A"/>
    <w:rsid w:val="00CA1DE3"/>
    <w:rsid w:val="00CA357E"/>
    <w:rsid w:val="00CA44F9"/>
    <w:rsid w:val="00CA4A69"/>
    <w:rsid w:val="00CA7654"/>
    <w:rsid w:val="00CC3E0C"/>
    <w:rsid w:val="00CC58D3"/>
    <w:rsid w:val="00CC784D"/>
    <w:rsid w:val="00CD6C0C"/>
    <w:rsid w:val="00D0337B"/>
    <w:rsid w:val="00D079B2"/>
    <w:rsid w:val="00D11020"/>
    <w:rsid w:val="00D114E9"/>
    <w:rsid w:val="00D26B3D"/>
    <w:rsid w:val="00D309A5"/>
    <w:rsid w:val="00D429C6"/>
    <w:rsid w:val="00D42F21"/>
    <w:rsid w:val="00D47748"/>
    <w:rsid w:val="00D537BD"/>
    <w:rsid w:val="00D54CC3"/>
    <w:rsid w:val="00D6041A"/>
    <w:rsid w:val="00D633EB"/>
    <w:rsid w:val="00D82FF7"/>
    <w:rsid w:val="00D847FE"/>
    <w:rsid w:val="00D903D8"/>
    <w:rsid w:val="00D964EA"/>
    <w:rsid w:val="00D966D0"/>
    <w:rsid w:val="00DA0C59"/>
    <w:rsid w:val="00DA3991"/>
    <w:rsid w:val="00DB7E6C"/>
    <w:rsid w:val="00DC7886"/>
    <w:rsid w:val="00DC79C6"/>
    <w:rsid w:val="00DD5A29"/>
    <w:rsid w:val="00DD5D9D"/>
    <w:rsid w:val="00DE118F"/>
    <w:rsid w:val="00DE13BB"/>
    <w:rsid w:val="00DE35CB"/>
    <w:rsid w:val="00DF21E9"/>
    <w:rsid w:val="00DF52D4"/>
    <w:rsid w:val="00DF7F6B"/>
    <w:rsid w:val="00E00F14"/>
    <w:rsid w:val="00E06386"/>
    <w:rsid w:val="00E24EB4"/>
    <w:rsid w:val="00E24FE9"/>
    <w:rsid w:val="00E320ED"/>
    <w:rsid w:val="00E33AFB"/>
    <w:rsid w:val="00E34218"/>
    <w:rsid w:val="00E46282"/>
    <w:rsid w:val="00E5216E"/>
    <w:rsid w:val="00E536BF"/>
    <w:rsid w:val="00E66C11"/>
    <w:rsid w:val="00E71304"/>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3AE2"/>
    <w:rsid w:val="00F11BB5"/>
    <w:rsid w:val="00F1417B"/>
    <w:rsid w:val="00F34B99"/>
    <w:rsid w:val="00F37D75"/>
    <w:rsid w:val="00F47B23"/>
    <w:rsid w:val="00F520DC"/>
    <w:rsid w:val="00F52DAB"/>
    <w:rsid w:val="00F543F0"/>
    <w:rsid w:val="00F715E5"/>
    <w:rsid w:val="00F81D29"/>
    <w:rsid w:val="00F91C4D"/>
    <w:rsid w:val="00F92FD9"/>
    <w:rsid w:val="00F9435A"/>
    <w:rsid w:val="00FA6684"/>
    <w:rsid w:val="00FA731E"/>
    <w:rsid w:val="00FB0253"/>
    <w:rsid w:val="00FB05F2"/>
    <w:rsid w:val="00FB2B38"/>
    <w:rsid w:val="00FC1C60"/>
    <w:rsid w:val="00FC6358"/>
    <w:rsid w:val="00FD320D"/>
    <w:rsid w:val="00FE23DE"/>
    <w:rsid w:val="00FE602D"/>
    <w:rsid w:val="099621A8"/>
    <w:rsid w:val="1C527279"/>
    <w:rsid w:val="1F467E21"/>
    <w:rsid w:val="2349100D"/>
    <w:rsid w:val="27A138D1"/>
    <w:rsid w:val="2B71633D"/>
    <w:rsid w:val="2CA14B65"/>
    <w:rsid w:val="2ECB5A75"/>
    <w:rsid w:val="39196AE9"/>
    <w:rsid w:val="42213689"/>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0AC4DDC"/>
  <w15:docId w15:val="{55C97635-7CF3-4C19-9C81-D2DB39D1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pPr>
      <w:widowControl w:val="0"/>
      <w:jc w:val="both"/>
    </w:pPr>
    <w:rPr>
      <w:kern w:val="2"/>
      <w:sz w:val="21"/>
      <w:szCs w:val="24"/>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8">
    <w:name w:val="index 8"/>
    <w:basedOn w:val="afd"/>
    <w:next w:val="afd"/>
    <w:pPr>
      <w:ind w:left="1680" w:hanging="210"/>
      <w:jc w:val="left"/>
    </w:pPr>
    <w:rPr>
      <w:rFonts w:ascii="Calibri" w:hAnsi="Calibri"/>
      <w:sz w:val="20"/>
      <w:szCs w:val="20"/>
    </w:rPr>
  </w:style>
  <w:style w:type="paragraph" w:styleId="aff1">
    <w:name w:val="caption"/>
    <w:basedOn w:val="afd"/>
    <w:next w:val="afd"/>
    <w:qFormat/>
    <w:pPr>
      <w:spacing w:before="152" w:after="160"/>
    </w:pPr>
    <w:rPr>
      <w:rFonts w:ascii="Arial" w:eastAsia="黑体" w:hAnsi="Arial" w:cs="Arial"/>
      <w:sz w:val="20"/>
      <w:szCs w:val="20"/>
    </w:rPr>
  </w:style>
  <w:style w:type="paragraph" w:styleId="5">
    <w:name w:val="index 5"/>
    <w:basedOn w:val="afd"/>
    <w:next w:val="afd"/>
    <w:pPr>
      <w:ind w:left="1050" w:hanging="210"/>
      <w:jc w:val="left"/>
    </w:pPr>
    <w:rPr>
      <w:rFonts w:ascii="Calibri" w:hAnsi="Calibri"/>
      <w:sz w:val="20"/>
      <w:szCs w:val="20"/>
    </w:rPr>
  </w:style>
  <w:style w:type="paragraph" w:styleId="aff2">
    <w:name w:val="Document Map"/>
    <w:basedOn w:val="afd"/>
    <w:semiHidden/>
    <w:pPr>
      <w:shd w:val="clear" w:color="auto" w:fill="000080"/>
    </w:pPr>
  </w:style>
  <w:style w:type="paragraph" w:styleId="6">
    <w:name w:val="index 6"/>
    <w:basedOn w:val="afd"/>
    <w:next w:val="afd"/>
    <w:pPr>
      <w:ind w:left="1260" w:hanging="210"/>
      <w:jc w:val="left"/>
    </w:pPr>
    <w:rPr>
      <w:rFonts w:ascii="Calibri" w:hAnsi="Calibri"/>
      <w:sz w:val="20"/>
      <w:szCs w:val="20"/>
    </w:rPr>
  </w:style>
  <w:style w:type="paragraph" w:styleId="4">
    <w:name w:val="index 4"/>
    <w:basedOn w:val="afd"/>
    <w:next w:val="afd"/>
    <w:pPr>
      <w:ind w:left="840" w:hanging="210"/>
      <w:jc w:val="left"/>
    </w:pPr>
    <w:rPr>
      <w:rFonts w:ascii="Calibri" w:hAnsi="Calibri"/>
      <w:sz w:val="20"/>
      <w:szCs w:val="20"/>
    </w:rPr>
  </w:style>
  <w:style w:type="paragraph" w:styleId="3">
    <w:name w:val="index 3"/>
    <w:basedOn w:val="afd"/>
    <w:next w:val="afd"/>
    <w:pPr>
      <w:ind w:left="630" w:hanging="210"/>
      <w:jc w:val="left"/>
    </w:pPr>
    <w:rPr>
      <w:rFonts w:ascii="Calibri" w:hAnsi="Calibri"/>
      <w:sz w:val="20"/>
      <w:szCs w:val="20"/>
    </w:rPr>
  </w:style>
  <w:style w:type="paragraph" w:styleId="aff3">
    <w:name w:val="endnote text"/>
    <w:basedOn w:val="afd"/>
    <w:semiHidden/>
    <w:pPr>
      <w:snapToGrid w:val="0"/>
      <w:jc w:val="left"/>
    </w:pPr>
  </w:style>
  <w:style w:type="paragraph" w:styleId="aff4">
    <w:name w:val="Balloon Text"/>
    <w:basedOn w:val="afd"/>
    <w:link w:val="aff5"/>
    <w:rPr>
      <w:sz w:val="18"/>
      <w:szCs w:val="18"/>
    </w:rPr>
  </w:style>
  <w:style w:type="paragraph" w:styleId="aff6">
    <w:name w:val="footer"/>
    <w:basedOn w:val="afd"/>
    <w:pPr>
      <w:snapToGrid w:val="0"/>
      <w:ind w:rightChars="100" w:right="210"/>
      <w:jc w:val="right"/>
    </w:pPr>
    <w:rPr>
      <w:sz w:val="18"/>
      <w:szCs w:val="18"/>
    </w:rPr>
  </w:style>
  <w:style w:type="paragraph" w:styleId="aff7">
    <w:name w:val="header"/>
    <w:basedOn w:val="afd"/>
    <w:pPr>
      <w:snapToGrid w:val="0"/>
      <w:jc w:val="left"/>
    </w:pPr>
    <w:rPr>
      <w:sz w:val="18"/>
      <w:szCs w:val="18"/>
    </w:rPr>
  </w:style>
  <w:style w:type="paragraph" w:styleId="TOC1">
    <w:name w:val="toc 1"/>
    <w:basedOn w:val="afd"/>
    <w:next w:val="afd"/>
    <w:uiPriority w:val="39"/>
  </w:style>
  <w:style w:type="paragraph" w:styleId="aff8">
    <w:name w:val="index heading"/>
    <w:basedOn w:val="afd"/>
    <w:next w:val="1"/>
    <w:pPr>
      <w:spacing w:before="120" w:after="120"/>
      <w:jc w:val="center"/>
    </w:pPr>
    <w:rPr>
      <w:rFonts w:ascii="Calibri" w:hAnsi="Calibri"/>
      <w:b/>
      <w:bCs/>
      <w:iCs/>
      <w:szCs w:val="20"/>
    </w:rPr>
  </w:style>
  <w:style w:type="paragraph" w:styleId="1">
    <w:name w:val="index 1"/>
    <w:basedOn w:val="afd"/>
    <w:next w:val="aff9"/>
    <w:pPr>
      <w:tabs>
        <w:tab w:val="right" w:leader="dot" w:pos="9299"/>
      </w:tabs>
      <w:jc w:val="left"/>
    </w:pPr>
    <w:rPr>
      <w:rFonts w:ascii="宋体"/>
      <w:szCs w:val="21"/>
    </w:rPr>
  </w:style>
  <w:style w:type="paragraph" w:customStyle="1" w:styleId="aff9">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d"/>
    <w:pPr>
      <w:numPr>
        <w:numId w:val="1"/>
      </w:numPr>
      <w:snapToGrid w:val="0"/>
      <w:jc w:val="left"/>
    </w:pPr>
    <w:rPr>
      <w:rFonts w:ascii="宋体"/>
      <w:sz w:val="18"/>
      <w:szCs w:val="18"/>
    </w:rPr>
  </w:style>
  <w:style w:type="paragraph" w:styleId="7">
    <w:name w:val="index 7"/>
    <w:basedOn w:val="afd"/>
    <w:next w:val="afd"/>
    <w:pPr>
      <w:ind w:left="1470" w:hanging="210"/>
      <w:jc w:val="left"/>
    </w:pPr>
    <w:rPr>
      <w:rFonts w:ascii="Calibri" w:hAnsi="Calibri"/>
      <w:sz w:val="20"/>
      <w:szCs w:val="20"/>
    </w:rPr>
  </w:style>
  <w:style w:type="paragraph" w:styleId="9">
    <w:name w:val="index 9"/>
    <w:basedOn w:val="afd"/>
    <w:next w:val="afd"/>
    <w:pPr>
      <w:ind w:left="1890" w:hanging="210"/>
      <w:jc w:val="left"/>
    </w:pPr>
    <w:rPr>
      <w:rFonts w:ascii="Calibri" w:hAnsi="Calibri"/>
      <w:sz w:val="20"/>
      <w:szCs w:val="20"/>
    </w:rPr>
  </w:style>
  <w:style w:type="paragraph" w:styleId="2">
    <w:name w:val="index 2"/>
    <w:basedOn w:val="afd"/>
    <w:next w:val="afd"/>
    <w:pPr>
      <w:ind w:left="420" w:hanging="210"/>
      <w:jc w:val="left"/>
    </w:pPr>
    <w:rPr>
      <w:rFonts w:ascii="Calibri" w:hAnsi="Calibri"/>
      <w:sz w:val="20"/>
      <w:szCs w:val="20"/>
    </w:rPr>
  </w:style>
  <w:style w:type="table" w:styleId="affa">
    <w:name w:val="Table Grid"/>
    <w:basedOn w:val="aff"/>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ndnote reference"/>
    <w:semiHidden/>
    <w:rPr>
      <w:vertAlign w:val="superscript"/>
    </w:rPr>
  </w:style>
  <w:style w:type="character" w:styleId="affc">
    <w:name w:val="page number"/>
    <w:rPr>
      <w:rFonts w:ascii="Times New Roman" w:eastAsia="宋体" w:hAnsi="Times New Roman"/>
      <w:sz w:val="18"/>
    </w:rPr>
  </w:style>
  <w:style w:type="character" w:styleId="affd">
    <w:name w:val="Hyperlink"/>
    <w:uiPriority w:val="99"/>
    <w:rPr>
      <w:color w:val="0000FF"/>
      <w:spacing w:val="0"/>
      <w:w w:val="100"/>
      <w:szCs w:val="21"/>
      <w:u w:val="single"/>
      <w:lang w:val="en-US" w:eastAsia="zh-CN"/>
    </w:rPr>
  </w:style>
  <w:style w:type="character" w:styleId="affe">
    <w:name w:val="footnote reference"/>
    <w:semiHidden/>
    <w:rPr>
      <w:vertAlign w:val="superscript"/>
    </w:rPr>
  </w:style>
  <w:style w:type="character" w:customStyle="1" w:styleId="10">
    <w:name w:val="已访问的超链接1"/>
    <w:rPr>
      <w:color w:val="800080"/>
      <w:u w:val="single"/>
    </w:rPr>
  </w:style>
  <w:style w:type="character" w:customStyle="1" w:styleId="Char0">
    <w:name w:val="附录公式 Char"/>
    <w:basedOn w:val="Char"/>
    <w:link w:val="afff"/>
    <w:rPr>
      <w:rFonts w:ascii="宋体"/>
      <w:sz w:val="21"/>
      <w:lang w:val="en-US" w:eastAsia="zh-CN" w:bidi="ar-SA"/>
    </w:rPr>
  </w:style>
  <w:style w:type="character" w:customStyle="1" w:styleId="Char">
    <w:name w:val="段 Char"/>
    <w:link w:val="aff9"/>
    <w:rPr>
      <w:rFonts w:ascii="宋体"/>
      <w:sz w:val="21"/>
      <w:lang w:val="en-US" w:eastAsia="zh-CN" w:bidi="ar-SA"/>
    </w:rPr>
  </w:style>
  <w:style w:type="paragraph" w:customStyle="1" w:styleId="afff">
    <w:name w:val="附录公式"/>
    <w:basedOn w:val="aff9"/>
    <w:next w:val="aff9"/>
    <w:link w:val="Char0"/>
    <w:qFormat/>
  </w:style>
  <w:style w:type="character" w:customStyle="1" w:styleId="Char1">
    <w:name w:val="首示例 Char"/>
    <w:link w:val="a0"/>
    <w:rPr>
      <w:rFonts w:ascii="宋体" w:hAnsi="宋体"/>
      <w:kern w:val="2"/>
      <w:sz w:val="18"/>
      <w:szCs w:val="18"/>
      <w:lang w:val="en-US" w:eastAsia="zh-CN" w:bidi="ar-SA"/>
    </w:rPr>
  </w:style>
  <w:style w:type="paragraph" w:customStyle="1" w:styleId="a0">
    <w:name w:val="首示例"/>
    <w:next w:val="aff9"/>
    <w:link w:val="Char1"/>
    <w:qFormat/>
    <w:pPr>
      <w:numPr>
        <w:numId w:val="2"/>
      </w:numPr>
      <w:tabs>
        <w:tab w:val="left" w:pos="360"/>
      </w:tabs>
      <w:ind w:firstLine="0"/>
    </w:pPr>
    <w:rPr>
      <w:rFonts w:ascii="宋体" w:hAnsi="宋体"/>
      <w:kern w:val="2"/>
      <w:sz w:val="18"/>
      <w:szCs w:val="18"/>
    </w:rPr>
  </w:style>
  <w:style w:type="character" w:customStyle="1" w:styleId="afff0">
    <w:name w:val="发布"/>
    <w:rPr>
      <w:rFonts w:ascii="黑体" w:eastAsia="黑体"/>
      <w:spacing w:val="85"/>
      <w:w w:val="100"/>
      <w:position w:val="3"/>
      <w:sz w:val="28"/>
      <w:szCs w:val="28"/>
    </w:rPr>
  </w:style>
  <w:style w:type="character" w:customStyle="1" w:styleId="aff5">
    <w:name w:val="批注框文本 字符"/>
    <w:link w:val="aff4"/>
    <w:rPr>
      <w:kern w:val="2"/>
      <w:sz w:val="18"/>
      <w:szCs w:val="18"/>
    </w:rPr>
  </w:style>
  <w:style w:type="paragraph" w:customStyle="1" w:styleId="a">
    <w:name w:val="注×："/>
    <w:pPr>
      <w:widowControl w:val="0"/>
      <w:numPr>
        <w:numId w:val="3"/>
      </w:numPr>
      <w:autoSpaceDE w:val="0"/>
      <w:autoSpaceDN w:val="0"/>
      <w:jc w:val="both"/>
    </w:pPr>
    <w:rPr>
      <w:rFonts w:ascii="宋体"/>
      <w:sz w:val="18"/>
      <w:szCs w:val="18"/>
    </w:rPr>
  </w:style>
  <w:style w:type="paragraph" w:customStyle="1" w:styleId="afff1">
    <w:name w:val="封面一致性程度标识"/>
    <w:basedOn w:val="afff2"/>
    <w:pPr>
      <w:framePr w:wrap="around"/>
      <w:spacing w:before="440"/>
    </w:pPr>
    <w:rPr>
      <w:rFonts w:ascii="宋体" w:eastAsia="宋体"/>
    </w:rPr>
  </w:style>
  <w:style w:type="paragraph" w:customStyle="1" w:styleId="afff2">
    <w:name w:val="封面标准英文名称"/>
    <w:basedOn w:val="afff3"/>
    <w:pPr>
      <w:framePr w:wrap="around"/>
      <w:spacing w:before="370" w:line="400" w:lineRule="exact"/>
    </w:pPr>
    <w:rPr>
      <w:rFonts w:ascii="Times New Roman"/>
      <w:sz w:val="28"/>
      <w:szCs w:val="28"/>
    </w:rPr>
  </w:style>
  <w:style w:type="paragraph" w:customStyle="1" w:styleId="afff3">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0">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
    <w:name w:val="目录 21"/>
    <w:basedOn w:val="afd"/>
    <w:next w:val="afd"/>
    <w:semiHidden/>
    <w:pPr>
      <w:tabs>
        <w:tab w:val="right" w:leader="dot" w:pos="9241"/>
      </w:tabs>
    </w:pPr>
    <w:rPr>
      <w:rFonts w:ascii="宋体"/>
      <w:szCs w:val="21"/>
    </w:rPr>
  </w:style>
  <w:style w:type="paragraph" w:customStyle="1" w:styleId="afff4">
    <w:name w:val="实施日期"/>
    <w:basedOn w:val="afff5"/>
    <w:pPr>
      <w:framePr w:wrap="around" w:vAnchor="page" w:hAnchor="text"/>
      <w:jc w:val="right"/>
    </w:pPr>
  </w:style>
  <w:style w:type="paragraph" w:customStyle="1" w:styleId="afff5">
    <w:name w:val="发布日期"/>
    <w:pPr>
      <w:framePr w:w="3997" w:h="471" w:hRule="exact" w:vSpace="181" w:wrap="around" w:hAnchor="page" w:x="7089" w:y="14097" w:anchorLock="1"/>
    </w:pPr>
    <w:rPr>
      <w:rFonts w:eastAsia="黑体"/>
      <w:sz w:val="28"/>
    </w:rPr>
  </w:style>
  <w:style w:type="paragraph" w:customStyle="1" w:styleId="afb">
    <w:name w:val="附录字母编号列项（一级）"/>
    <w:qFormat/>
    <w:pPr>
      <w:numPr>
        <w:numId w:val="4"/>
      </w:numPr>
    </w:pPr>
    <w:rPr>
      <w:rFonts w:ascii="宋体"/>
      <w:sz w:val="21"/>
    </w:rPr>
  </w:style>
  <w:style w:type="paragraph" w:customStyle="1" w:styleId="af7">
    <w:name w:val="正文表标题"/>
    <w:next w:val="aff9"/>
    <w:pPr>
      <w:numPr>
        <w:numId w:val="5"/>
      </w:numPr>
      <w:tabs>
        <w:tab w:val="left" w:pos="360"/>
      </w:tabs>
      <w:spacing w:beforeLines="50" w:before="156" w:afterLines="50" w:after="156"/>
      <w:jc w:val="center"/>
    </w:pPr>
    <w:rPr>
      <w:rFonts w:ascii="黑体" w:eastAsia="黑体"/>
      <w:sz w:val="21"/>
    </w:rPr>
  </w:style>
  <w:style w:type="paragraph" w:customStyle="1" w:styleId="71">
    <w:name w:val="目录 71"/>
    <w:basedOn w:val="afd"/>
    <w:next w:val="afd"/>
    <w:semiHidden/>
    <w:pPr>
      <w:tabs>
        <w:tab w:val="right" w:leader="dot" w:pos="9241"/>
      </w:tabs>
      <w:ind w:firstLineChars="500" w:firstLine="505"/>
      <w:jc w:val="left"/>
    </w:pPr>
    <w:rPr>
      <w:rFonts w:ascii="宋体"/>
      <w:szCs w:val="21"/>
    </w:rPr>
  </w:style>
  <w:style w:type="paragraph" w:customStyle="1" w:styleId="51">
    <w:name w:val="目录 51"/>
    <w:basedOn w:val="afd"/>
    <w:next w:val="afd"/>
    <w:semiHidden/>
    <w:pPr>
      <w:tabs>
        <w:tab w:val="right" w:leader="dot" w:pos="9241"/>
      </w:tabs>
      <w:ind w:firstLineChars="300" w:firstLine="300"/>
      <w:jc w:val="left"/>
    </w:pPr>
    <w:rPr>
      <w:rFonts w:ascii="宋体"/>
      <w:szCs w:val="21"/>
    </w:rPr>
  </w:style>
  <w:style w:type="paragraph" w:customStyle="1" w:styleId="afff6">
    <w:name w:val="附录二级无"/>
    <w:basedOn w:val="afff7"/>
    <w:pPr>
      <w:spacing w:beforeLines="0" w:before="0" w:afterLines="0" w:after="0"/>
    </w:pPr>
    <w:rPr>
      <w:rFonts w:ascii="宋体" w:eastAsia="宋体"/>
      <w:szCs w:val="21"/>
    </w:rPr>
  </w:style>
  <w:style w:type="paragraph" w:customStyle="1" w:styleId="afff7">
    <w:name w:val="附录二级条标题"/>
    <w:basedOn w:val="afd"/>
    <w:next w:val="aff9"/>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31">
    <w:name w:val="目录 31"/>
    <w:basedOn w:val="afd"/>
    <w:next w:val="afd"/>
    <w:uiPriority w:val="39"/>
    <w:pPr>
      <w:tabs>
        <w:tab w:val="right" w:leader="dot" w:pos="9241"/>
      </w:tabs>
      <w:ind w:firstLineChars="100" w:firstLine="102"/>
      <w:jc w:val="left"/>
    </w:pPr>
    <w:rPr>
      <w:rFonts w:ascii="宋体"/>
      <w:szCs w:val="21"/>
    </w:rPr>
  </w:style>
  <w:style w:type="paragraph" w:customStyle="1" w:styleId="afff8">
    <w:name w:val="标准书脚_偶数页"/>
    <w:pPr>
      <w:spacing w:before="120"/>
      <w:ind w:left="221"/>
    </w:pPr>
    <w:rPr>
      <w:rFonts w:ascii="宋体"/>
      <w:sz w:val="18"/>
      <w:szCs w:val="18"/>
    </w:rPr>
  </w:style>
  <w:style w:type="paragraph" w:customStyle="1" w:styleId="81">
    <w:name w:val="目录 81"/>
    <w:basedOn w:val="afd"/>
    <w:next w:val="afd"/>
    <w:semiHidden/>
    <w:pPr>
      <w:tabs>
        <w:tab w:val="right" w:leader="dot" w:pos="9241"/>
      </w:tabs>
      <w:ind w:firstLineChars="600" w:firstLine="607"/>
      <w:jc w:val="left"/>
    </w:pPr>
    <w:rPr>
      <w:rFonts w:ascii="宋体"/>
      <w:szCs w:val="21"/>
    </w:rPr>
  </w:style>
  <w:style w:type="paragraph" w:customStyle="1" w:styleId="afff9">
    <w:name w:val="标准标志"/>
    <w:next w:val="afd"/>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
    <w:name w:val="目录 11"/>
    <w:basedOn w:val="afd"/>
    <w:next w:val="afd"/>
    <w:uiPriority w:val="39"/>
    <w:pPr>
      <w:tabs>
        <w:tab w:val="right" w:leader="dot" w:pos="9241"/>
      </w:tabs>
      <w:spacing w:beforeLines="25" w:before="25" w:afterLines="25" w:after="25"/>
      <w:jc w:val="left"/>
    </w:pPr>
    <w:rPr>
      <w:rFonts w:ascii="宋体"/>
      <w:szCs w:val="21"/>
    </w:rPr>
  </w:style>
  <w:style w:type="paragraph" w:customStyle="1" w:styleId="41">
    <w:name w:val="目录 41"/>
    <w:basedOn w:val="afd"/>
    <w:next w:val="afd"/>
    <w:semiHidden/>
    <w:pPr>
      <w:tabs>
        <w:tab w:val="right" w:leader="dot" w:pos="9241"/>
      </w:tabs>
      <w:ind w:firstLineChars="200" w:firstLine="198"/>
      <w:jc w:val="left"/>
    </w:pPr>
    <w:rPr>
      <w:rFonts w:ascii="宋体"/>
      <w:szCs w:val="21"/>
    </w:rPr>
  </w:style>
  <w:style w:type="paragraph" w:customStyle="1" w:styleId="afffa">
    <w:name w:val="附录四级条标题"/>
    <w:basedOn w:val="afffb"/>
    <w:next w:val="aff9"/>
    <w:pPr>
      <w:outlineLvl w:val="5"/>
    </w:pPr>
  </w:style>
  <w:style w:type="paragraph" w:customStyle="1" w:styleId="afffb">
    <w:name w:val="附录三级条标题"/>
    <w:basedOn w:val="afff7"/>
    <w:next w:val="aff9"/>
    <w:pPr>
      <w:outlineLvl w:val="4"/>
    </w:pPr>
  </w:style>
  <w:style w:type="paragraph" w:customStyle="1" w:styleId="ae">
    <w:name w:val="列项◆（三级）"/>
    <w:basedOn w:val="afd"/>
    <w:pPr>
      <w:numPr>
        <w:ilvl w:val="2"/>
        <w:numId w:val="6"/>
      </w:numPr>
    </w:pPr>
    <w:rPr>
      <w:rFonts w:ascii="宋体"/>
      <w:szCs w:val="21"/>
    </w:rPr>
  </w:style>
  <w:style w:type="paragraph" w:customStyle="1" w:styleId="a9">
    <w:name w:val="五级条标题"/>
    <w:basedOn w:val="a8"/>
    <w:next w:val="aff9"/>
    <w:pPr>
      <w:numPr>
        <w:ilvl w:val="5"/>
      </w:numPr>
      <w:outlineLvl w:val="6"/>
    </w:pPr>
  </w:style>
  <w:style w:type="paragraph" w:customStyle="1" w:styleId="a8">
    <w:name w:val="四级条标题"/>
    <w:basedOn w:val="a7"/>
    <w:next w:val="aff9"/>
    <w:pPr>
      <w:numPr>
        <w:ilvl w:val="4"/>
      </w:numPr>
      <w:outlineLvl w:val="5"/>
    </w:pPr>
  </w:style>
  <w:style w:type="paragraph" w:customStyle="1" w:styleId="a7">
    <w:name w:val="三级条标题"/>
    <w:basedOn w:val="a6"/>
    <w:next w:val="aff9"/>
    <w:pPr>
      <w:numPr>
        <w:ilvl w:val="3"/>
      </w:numPr>
      <w:outlineLvl w:val="4"/>
    </w:pPr>
  </w:style>
  <w:style w:type="paragraph" w:customStyle="1" w:styleId="a6">
    <w:name w:val="二级条标题"/>
    <w:basedOn w:val="a5"/>
    <w:next w:val="aff9"/>
    <w:pPr>
      <w:numPr>
        <w:ilvl w:val="2"/>
      </w:numPr>
      <w:spacing w:before="50" w:after="50"/>
      <w:outlineLvl w:val="3"/>
    </w:pPr>
  </w:style>
  <w:style w:type="paragraph" w:customStyle="1" w:styleId="a5">
    <w:name w:val="一级条标题"/>
    <w:next w:val="aff9"/>
    <w:pPr>
      <w:numPr>
        <w:ilvl w:val="1"/>
        <w:numId w:val="7"/>
      </w:numPr>
      <w:spacing w:beforeLines="50" w:before="156" w:afterLines="50" w:after="156"/>
      <w:outlineLvl w:val="2"/>
    </w:pPr>
    <w:rPr>
      <w:rFonts w:ascii="黑体" w:eastAsia="黑体"/>
      <w:sz w:val="21"/>
      <w:szCs w:val="21"/>
    </w:rPr>
  </w:style>
  <w:style w:type="paragraph" w:customStyle="1" w:styleId="afffc">
    <w:name w:val="目次、标准名称标题"/>
    <w:basedOn w:val="afd"/>
    <w:next w:val="aff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d">
    <w:name w:val="注：（正文）"/>
    <w:basedOn w:val="afffe"/>
    <w:next w:val="aff9"/>
  </w:style>
  <w:style w:type="paragraph" w:customStyle="1" w:styleId="afffe">
    <w:name w:val="注："/>
    <w:next w:val="aff9"/>
    <w:pPr>
      <w:widowControl w:val="0"/>
      <w:autoSpaceDE w:val="0"/>
      <w:autoSpaceDN w:val="0"/>
      <w:ind w:left="726" w:hanging="363"/>
      <w:jc w:val="both"/>
    </w:pPr>
    <w:rPr>
      <w:rFonts w:ascii="宋体"/>
      <w:sz w:val="18"/>
      <w:szCs w:val="18"/>
    </w:rPr>
  </w:style>
  <w:style w:type="paragraph" w:customStyle="1" w:styleId="affff">
    <w:name w:val="封面标准文稿类别"/>
    <w:basedOn w:val="afff1"/>
    <w:pPr>
      <w:framePr w:wrap="around"/>
      <w:spacing w:after="160" w:line="240" w:lineRule="auto"/>
    </w:pPr>
    <w:rPr>
      <w:sz w:val="24"/>
    </w:rPr>
  </w:style>
  <w:style w:type="paragraph" w:customStyle="1" w:styleId="ac">
    <w:name w:val="列项——（一级）"/>
    <w:pPr>
      <w:widowControl w:val="0"/>
      <w:numPr>
        <w:numId w:val="6"/>
      </w:numPr>
      <w:jc w:val="both"/>
    </w:pPr>
    <w:rPr>
      <w:rFonts w:ascii="宋体"/>
      <w:sz w:val="21"/>
    </w:rPr>
  </w:style>
  <w:style w:type="paragraph" w:customStyle="1" w:styleId="affff0">
    <w:name w:val="参考文献、索引标题"/>
    <w:basedOn w:val="afd"/>
    <w:next w:val="aff9"/>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d"/>
    <w:next w:val="afd"/>
    <w:semiHidden/>
    <w:pPr>
      <w:tabs>
        <w:tab w:val="right" w:leader="dot" w:pos="9241"/>
      </w:tabs>
      <w:ind w:firstLineChars="400" w:firstLine="403"/>
      <w:jc w:val="left"/>
    </w:pPr>
    <w:rPr>
      <w:rFonts w:ascii="宋体"/>
      <w:szCs w:val="21"/>
    </w:rPr>
  </w:style>
  <w:style w:type="paragraph" w:customStyle="1" w:styleId="af2">
    <w:name w:val="编号列项（三级）"/>
    <w:pPr>
      <w:numPr>
        <w:ilvl w:val="2"/>
        <w:numId w:val="8"/>
      </w:numPr>
    </w:pPr>
    <w:rPr>
      <w:rFonts w:ascii="宋体"/>
      <w:sz w:val="21"/>
    </w:rPr>
  </w:style>
  <w:style w:type="paragraph" w:customStyle="1" w:styleId="af0">
    <w:name w:val="字母编号列项（一级）"/>
    <w:pPr>
      <w:numPr>
        <w:numId w:val="8"/>
      </w:numPr>
      <w:jc w:val="both"/>
    </w:pPr>
    <w:rPr>
      <w:rFonts w:ascii="宋体"/>
      <w:sz w:val="21"/>
    </w:rPr>
  </w:style>
  <w:style w:type="paragraph" w:customStyle="1" w:styleId="affff1">
    <w:name w:val="标准书眉一"/>
    <w:pPr>
      <w:jc w:val="both"/>
    </w:pPr>
  </w:style>
  <w:style w:type="paragraph" w:customStyle="1" w:styleId="af3">
    <w:name w:val="示例×："/>
    <w:basedOn w:val="a4"/>
    <w:qFormat/>
    <w:pPr>
      <w:numPr>
        <w:numId w:val="9"/>
      </w:numPr>
      <w:spacing w:beforeLines="0" w:before="0" w:afterLines="0" w:after="0"/>
      <w:outlineLvl w:val="9"/>
    </w:pPr>
    <w:rPr>
      <w:rFonts w:ascii="宋体" w:eastAsia="宋体"/>
      <w:sz w:val="18"/>
      <w:szCs w:val="18"/>
    </w:rPr>
  </w:style>
  <w:style w:type="paragraph" w:customStyle="1" w:styleId="a4">
    <w:name w:val="章标题"/>
    <w:next w:val="aff9"/>
    <w:pPr>
      <w:numPr>
        <w:numId w:val="7"/>
      </w:numPr>
      <w:spacing w:beforeLines="100" w:before="312" w:afterLines="100" w:after="312"/>
      <w:jc w:val="both"/>
      <w:outlineLvl w:val="1"/>
    </w:pPr>
    <w:rPr>
      <w:rFonts w:ascii="黑体" w:eastAsia="黑体"/>
      <w:sz w:val="21"/>
    </w:rPr>
  </w:style>
  <w:style w:type="paragraph" w:customStyle="1" w:styleId="affff2">
    <w:name w:val="二级无"/>
    <w:basedOn w:val="a6"/>
    <w:pPr>
      <w:spacing w:beforeLines="0" w:before="0" w:afterLines="0" w:after="0"/>
    </w:pPr>
    <w:rPr>
      <w:rFonts w:ascii="宋体" w:eastAsia="宋体"/>
    </w:rPr>
  </w:style>
  <w:style w:type="paragraph" w:customStyle="1" w:styleId="a1">
    <w:name w:val="示例"/>
    <w:next w:val="affff3"/>
    <w:pPr>
      <w:widowControl w:val="0"/>
      <w:numPr>
        <w:numId w:val="10"/>
      </w:numPr>
      <w:jc w:val="both"/>
    </w:pPr>
    <w:rPr>
      <w:rFonts w:ascii="宋体"/>
      <w:sz w:val="18"/>
      <w:szCs w:val="18"/>
    </w:rPr>
  </w:style>
  <w:style w:type="paragraph" w:customStyle="1" w:styleId="affff3">
    <w:name w:val="示例内容"/>
    <w:pPr>
      <w:ind w:firstLineChars="200" w:firstLine="200"/>
    </w:pPr>
    <w:rPr>
      <w:rFonts w:ascii="宋体"/>
      <w:sz w:val="18"/>
      <w:szCs w:val="18"/>
    </w:rPr>
  </w:style>
  <w:style w:type="paragraph" w:customStyle="1" w:styleId="91">
    <w:name w:val="目录 91"/>
    <w:basedOn w:val="afd"/>
    <w:next w:val="afd"/>
    <w:semiHidden/>
    <w:pPr>
      <w:ind w:left="1470"/>
      <w:jc w:val="left"/>
    </w:pPr>
    <w:rPr>
      <w:sz w:val="20"/>
      <w:szCs w:val="20"/>
    </w:rPr>
  </w:style>
  <w:style w:type="paragraph" w:customStyle="1" w:styleId="affff4">
    <w:name w:val="发布部门"/>
    <w:next w:val="aff9"/>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数字编号列项（二级）"/>
    <w:pPr>
      <w:numPr>
        <w:ilvl w:val="1"/>
        <w:numId w:val="8"/>
      </w:numPr>
      <w:jc w:val="both"/>
    </w:pPr>
    <w:rPr>
      <w:rFonts w:ascii="宋体"/>
      <w:sz w:val="21"/>
    </w:rPr>
  </w:style>
  <w:style w:type="paragraph" w:customStyle="1" w:styleId="affff5">
    <w:name w:val="标准书脚_奇数页"/>
    <w:pPr>
      <w:spacing w:before="120"/>
      <w:ind w:right="198"/>
      <w:jc w:val="right"/>
    </w:pPr>
    <w:rPr>
      <w:rFonts w:ascii="宋体"/>
      <w:sz w:val="18"/>
      <w:szCs w:val="18"/>
    </w:rPr>
  </w:style>
  <w:style w:type="paragraph" w:customStyle="1" w:styleId="affff6">
    <w:name w:val="封面标准文稿编辑信息"/>
    <w:basedOn w:val="affff"/>
    <w:pPr>
      <w:framePr w:wrap="around"/>
      <w:spacing w:before="180" w:line="180" w:lineRule="exact"/>
    </w:pPr>
    <w:rPr>
      <w:sz w:val="21"/>
    </w:rPr>
  </w:style>
  <w:style w:type="paragraph" w:customStyle="1" w:styleId="ad">
    <w:name w:val="列项●（二级）"/>
    <w:pPr>
      <w:numPr>
        <w:ilvl w:val="1"/>
        <w:numId w:val="6"/>
      </w:numPr>
      <w:tabs>
        <w:tab w:val="left" w:pos="840"/>
      </w:tabs>
      <w:jc w:val="both"/>
    </w:pPr>
    <w:rPr>
      <w:rFonts w:ascii="宋体"/>
      <w:sz w:val="21"/>
    </w:rPr>
  </w:style>
  <w:style w:type="paragraph" w:customStyle="1" w:styleId="affff7">
    <w:name w:val="标准书眉_奇数页"/>
    <w:next w:val="afd"/>
    <w:pPr>
      <w:tabs>
        <w:tab w:val="center" w:pos="4154"/>
        <w:tab w:val="right" w:pos="8306"/>
      </w:tabs>
      <w:spacing w:after="220"/>
      <w:jc w:val="right"/>
    </w:pPr>
    <w:rPr>
      <w:rFonts w:ascii="黑体" w:eastAsia="黑体"/>
      <w:sz w:val="21"/>
      <w:szCs w:val="21"/>
    </w:rPr>
  </w:style>
  <w:style w:type="paragraph" w:customStyle="1" w:styleId="a3">
    <w:name w:val="注×：（正文）"/>
    <w:pPr>
      <w:numPr>
        <w:numId w:val="11"/>
      </w:numPr>
      <w:jc w:val="both"/>
    </w:pPr>
    <w:rPr>
      <w:rFonts w:ascii="宋体"/>
      <w:sz w:val="18"/>
      <w:szCs w:val="18"/>
    </w:rPr>
  </w:style>
  <w:style w:type="paragraph" w:customStyle="1" w:styleId="affff8">
    <w:name w:val="标准称谓"/>
    <w:next w:val="af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9">
    <w:name w:val="标准书眉_偶数页"/>
    <w:basedOn w:val="affff7"/>
    <w:next w:val="afd"/>
    <w:pPr>
      <w:jc w:val="left"/>
    </w:pPr>
  </w:style>
  <w:style w:type="paragraph" w:customStyle="1" w:styleId="affffa">
    <w:name w:val="参考文献"/>
    <w:basedOn w:val="afd"/>
    <w:next w:val="aff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b">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c">
    <w:name w:val="封面正文"/>
    <w:pPr>
      <w:jc w:val="both"/>
    </w:pPr>
  </w:style>
  <w:style w:type="paragraph" w:customStyle="1" w:styleId="af8">
    <w:name w:val="附录标识"/>
    <w:basedOn w:val="afd"/>
    <w:next w:val="aff9"/>
    <w:pPr>
      <w:keepNext/>
      <w:widowControl/>
      <w:numPr>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d">
    <w:name w:val="附录标题"/>
    <w:basedOn w:val="aff9"/>
    <w:next w:val="aff9"/>
    <w:pPr>
      <w:ind w:firstLineChars="0" w:firstLine="0"/>
      <w:jc w:val="center"/>
    </w:pPr>
    <w:rPr>
      <w:rFonts w:ascii="黑体" w:eastAsia="黑体"/>
    </w:rPr>
  </w:style>
  <w:style w:type="paragraph" w:customStyle="1" w:styleId="af5">
    <w:name w:val="附录表标号"/>
    <w:basedOn w:val="afd"/>
    <w:next w:val="aff9"/>
    <w:pPr>
      <w:numPr>
        <w:numId w:val="13"/>
      </w:numPr>
      <w:tabs>
        <w:tab w:val="clear" w:pos="0"/>
      </w:tabs>
      <w:spacing w:line="14" w:lineRule="exact"/>
      <w:ind w:left="811" w:hanging="448"/>
      <w:jc w:val="center"/>
      <w:outlineLvl w:val="0"/>
    </w:pPr>
    <w:rPr>
      <w:color w:val="FFFFFF"/>
    </w:rPr>
  </w:style>
  <w:style w:type="paragraph" w:customStyle="1" w:styleId="af6">
    <w:name w:val="附录表标题"/>
    <w:basedOn w:val="afd"/>
    <w:next w:val="aff9"/>
    <w:pPr>
      <w:numPr>
        <w:ilvl w:val="1"/>
        <w:numId w:val="13"/>
      </w:numPr>
      <w:tabs>
        <w:tab w:val="left" w:pos="180"/>
      </w:tabs>
      <w:spacing w:beforeLines="50" w:before="50" w:afterLines="50" w:after="50"/>
      <w:jc w:val="center"/>
    </w:pPr>
    <w:rPr>
      <w:rFonts w:ascii="黑体" w:eastAsia="黑体"/>
      <w:szCs w:val="21"/>
    </w:rPr>
  </w:style>
  <w:style w:type="paragraph" w:customStyle="1" w:styleId="affffe">
    <w:name w:val="附录公式编号制表符"/>
    <w:basedOn w:val="afd"/>
    <w:next w:val="aff9"/>
    <w:qFormat/>
    <w:pPr>
      <w:widowControl/>
      <w:tabs>
        <w:tab w:val="center" w:pos="4201"/>
        <w:tab w:val="right" w:leader="dot" w:pos="9298"/>
      </w:tabs>
      <w:autoSpaceDE w:val="0"/>
      <w:autoSpaceDN w:val="0"/>
    </w:pPr>
    <w:rPr>
      <w:rFonts w:ascii="宋体"/>
      <w:kern w:val="0"/>
      <w:szCs w:val="20"/>
    </w:rPr>
  </w:style>
  <w:style w:type="paragraph" w:customStyle="1" w:styleId="afffff">
    <w:name w:val="附录三级无"/>
    <w:basedOn w:val="afffb"/>
    <w:pPr>
      <w:tabs>
        <w:tab w:val="clear" w:pos="360"/>
      </w:tabs>
      <w:spacing w:beforeLines="0" w:before="0" w:afterLines="0" w:after="0"/>
    </w:pPr>
    <w:rPr>
      <w:rFonts w:ascii="宋体" w:eastAsia="宋体"/>
      <w:szCs w:val="21"/>
    </w:rPr>
  </w:style>
  <w:style w:type="paragraph" w:customStyle="1" w:styleId="afc">
    <w:name w:val="附录数字编号列项（二级）"/>
    <w:qFormat/>
    <w:pPr>
      <w:numPr>
        <w:ilvl w:val="1"/>
        <w:numId w:val="4"/>
      </w:numPr>
    </w:pPr>
    <w:rPr>
      <w:rFonts w:ascii="宋体"/>
      <w:sz w:val="21"/>
    </w:rPr>
  </w:style>
  <w:style w:type="paragraph" w:customStyle="1" w:styleId="afffff0">
    <w:name w:val="附录四级无"/>
    <w:basedOn w:val="afffa"/>
    <w:pPr>
      <w:tabs>
        <w:tab w:val="clear" w:pos="360"/>
      </w:tabs>
      <w:spacing w:beforeLines="0" w:before="0" w:afterLines="0" w:after="0"/>
    </w:pPr>
    <w:rPr>
      <w:rFonts w:ascii="宋体" w:eastAsia="宋体"/>
      <w:szCs w:val="21"/>
    </w:rPr>
  </w:style>
  <w:style w:type="paragraph" w:customStyle="1" w:styleId="22">
    <w:name w:val="封面标准文稿类别2"/>
    <w:basedOn w:val="affff"/>
    <w:pPr>
      <w:framePr w:wrap="around" w:y="4469"/>
    </w:pPr>
  </w:style>
  <w:style w:type="paragraph" w:customStyle="1" w:styleId="aa">
    <w:name w:val="附录图标号"/>
    <w:basedOn w:val="afd"/>
    <w:pPr>
      <w:keepNext/>
      <w:pageBreakBefore/>
      <w:widowControl/>
      <w:numPr>
        <w:numId w:val="14"/>
      </w:numPr>
      <w:spacing w:line="14" w:lineRule="exact"/>
      <w:ind w:left="0" w:firstLine="363"/>
      <w:jc w:val="center"/>
      <w:outlineLvl w:val="0"/>
    </w:pPr>
    <w:rPr>
      <w:color w:val="FFFFFF"/>
    </w:rPr>
  </w:style>
  <w:style w:type="paragraph" w:customStyle="1" w:styleId="af4">
    <w:name w:val="正文图标题"/>
    <w:next w:val="aff9"/>
    <w:pPr>
      <w:numPr>
        <w:numId w:val="15"/>
      </w:numPr>
      <w:tabs>
        <w:tab w:val="left" w:pos="360"/>
      </w:tabs>
      <w:spacing w:beforeLines="50" w:before="156" w:afterLines="50" w:after="156"/>
      <w:jc w:val="center"/>
    </w:pPr>
    <w:rPr>
      <w:rFonts w:ascii="黑体" w:eastAsia="黑体"/>
      <w:sz w:val="21"/>
    </w:rPr>
  </w:style>
  <w:style w:type="paragraph" w:customStyle="1" w:styleId="ab">
    <w:name w:val="附录图标题"/>
    <w:basedOn w:val="afd"/>
    <w:next w:val="aff9"/>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ffff1">
    <w:name w:val="附录五级条标题"/>
    <w:basedOn w:val="afffa"/>
    <w:next w:val="aff9"/>
    <w:pPr>
      <w:outlineLvl w:val="6"/>
    </w:pPr>
  </w:style>
  <w:style w:type="paragraph" w:customStyle="1" w:styleId="afffff2">
    <w:name w:val="附录五级无"/>
    <w:basedOn w:val="afffff1"/>
    <w:pPr>
      <w:tabs>
        <w:tab w:val="clear" w:pos="360"/>
      </w:tabs>
      <w:spacing w:beforeLines="0" w:before="0" w:afterLines="0" w:after="0"/>
    </w:pPr>
    <w:rPr>
      <w:rFonts w:ascii="宋体" w:eastAsia="宋体"/>
      <w:szCs w:val="21"/>
    </w:rPr>
  </w:style>
  <w:style w:type="paragraph" w:customStyle="1" w:styleId="af9">
    <w:name w:val="附录章标题"/>
    <w:next w:val="aff9"/>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9"/>
    <w:pPr>
      <w:numPr>
        <w:ilvl w:val="2"/>
      </w:numPr>
      <w:autoSpaceDN w:val="0"/>
      <w:spacing w:beforeLines="50" w:before="50" w:afterLines="50" w:after="50"/>
      <w:outlineLvl w:val="2"/>
    </w:pPr>
  </w:style>
  <w:style w:type="paragraph" w:customStyle="1" w:styleId="afffff3">
    <w:name w:val="其他发布部门"/>
    <w:basedOn w:val="affff4"/>
    <w:pPr>
      <w:framePr w:wrap="around" w:y="15310"/>
      <w:spacing w:line="0" w:lineRule="atLeast"/>
    </w:pPr>
    <w:rPr>
      <w:rFonts w:ascii="黑体" w:eastAsia="黑体"/>
      <w:b w:val="0"/>
    </w:rPr>
  </w:style>
  <w:style w:type="paragraph" w:customStyle="1" w:styleId="afffff4">
    <w:name w:val="附录一级无"/>
    <w:basedOn w:val="afa"/>
    <w:pPr>
      <w:tabs>
        <w:tab w:val="clear" w:pos="360"/>
      </w:tabs>
      <w:spacing w:beforeLines="0" w:before="0" w:afterLines="0" w:after="0"/>
    </w:pPr>
    <w:rPr>
      <w:rFonts w:ascii="宋体" w:eastAsia="宋体"/>
      <w:szCs w:val="21"/>
    </w:rPr>
  </w:style>
  <w:style w:type="paragraph" w:customStyle="1" w:styleId="afffff5">
    <w:name w:val="列项说明"/>
    <w:basedOn w:val="afd"/>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列项说明数字编号"/>
    <w:pPr>
      <w:ind w:leftChars="400" w:left="600" w:hangingChars="200" w:hanging="200"/>
    </w:pPr>
    <w:rPr>
      <w:rFonts w:ascii="宋体"/>
      <w:sz w:val="21"/>
    </w:rPr>
  </w:style>
  <w:style w:type="paragraph" w:customStyle="1" w:styleId="afffff7">
    <w:name w:val="目次、索引正文"/>
    <w:pPr>
      <w:spacing w:line="320" w:lineRule="exact"/>
      <w:jc w:val="both"/>
    </w:pPr>
    <w:rPr>
      <w:rFonts w:ascii="宋体"/>
      <w:sz w:val="21"/>
    </w:rPr>
  </w:style>
  <w:style w:type="paragraph" w:customStyle="1" w:styleId="afffff8">
    <w:name w:val="其他标准标志"/>
    <w:basedOn w:val="afff9"/>
    <w:pPr>
      <w:framePr w:w="6101" w:wrap="around" w:vAnchor="page" w:hAnchor="page" w:x="4673" w:y="942"/>
    </w:pPr>
    <w:rPr>
      <w:w w:val="130"/>
    </w:rPr>
  </w:style>
  <w:style w:type="paragraph" w:customStyle="1" w:styleId="afffff9">
    <w:name w:val="其他标准称谓"/>
    <w:next w:val="afd"/>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a">
    <w:name w:val="前言、引言标题"/>
    <w:next w:val="aff9"/>
    <w:pPr>
      <w:keepNext/>
      <w:pageBreakBefore/>
      <w:shd w:val="clear" w:color="FFFFFF" w:fill="FFFFFF"/>
      <w:spacing w:before="640" w:after="560"/>
      <w:jc w:val="center"/>
      <w:outlineLvl w:val="0"/>
    </w:pPr>
    <w:rPr>
      <w:rFonts w:ascii="黑体" w:eastAsia="黑体"/>
      <w:sz w:val="32"/>
    </w:rPr>
  </w:style>
  <w:style w:type="paragraph" w:customStyle="1" w:styleId="afffffb">
    <w:name w:val="其他发布日期"/>
    <w:basedOn w:val="afff5"/>
    <w:pPr>
      <w:framePr w:wrap="around" w:vAnchor="page" w:hAnchor="text" w:x="1419"/>
    </w:pPr>
  </w:style>
  <w:style w:type="paragraph" w:customStyle="1" w:styleId="afffffc">
    <w:name w:val="三级无"/>
    <w:basedOn w:val="a7"/>
    <w:pPr>
      <w:spacing w:beforeLines="0" w:before="0" w:afterLines="0" w:after="0"/>
    </w:pPr>
    <w:rPr>
      <w:rFonts w:ascii="宋体" w:eastAsia="宋体"/>
    </w:rPr>
  </w:style>
  <w:style w:type="paragraph" w:customStyle="1" w:styleId="afffffd">
    <w:name w:val="示例后文字"/>
    <w:basedOn w:val="aff9"/>
    <w:next w:val="aff9"/>
    <w:qFormat/>
    <w:pPr>
      <w:ind w:firstLine="360"/>
    </w:pPr>
    <w:rPr>
      <w:sz w:val="18"/>
    </w:rPr>
  </w:style>
  <w:style w:type="paragraph" w:customStyle="1" w:styleId="afffffe">
    <w:name w:val="一级无"/>
    <w:basedOn w:val="a5"/>
    <w:pPr>
      <w:spacing w:beforeLines="0" w:before="0" w:afterLines="0" w:after="0"/>
    </w:pPr>
    <w:rPr>
      <w:rFonts w:ascii="宋体" w:eastAsia="宋体"/>
    </w:rPr>
  </w:style>
  <w:style w:type="paragraph" w:customStyle="1" w:styleId="affffff">
    <w:name w:val="四级无"/>
    <w:basedOn w:val="a8"/>
    <w:pPr>
      <w:spacing w:beforeLines="0" w:before="0" w:afterLines="0" w:after="0"/>
    </w:pPr>
    <w:rPr>
      <w:rFonts w:ascii="宋体" w:eastAsia="宋体"/>
    </w:rPr>
  </w:style>
  <w:style w:type="paragraph" w:customStyle="1" w:styleId="affffff0">
    <w:name w:val="条文脚注"/>
    <w:basedOn w:val="af"/>
    <w:pPr>
      <w:numPr>
        <w:numId w:val="0"/>
      </w:numPr>
      <w:jc w:val="both"/>
    </w:pPr>
  </w:style>
  <w:style w:type="paragraph" w:customStyle="1" w:styleId="affffff1">
    <w:name w:val="图标脚注说明"/>
    <w:basedOn w:val="aff9"/>
    <w:pPr>
      <w:ind w:left="840" w:firstLineChars="0" w:hanging="420"/>
    </w:pPr>
    <w:rPr>
      <w:sz w:val="18"/>
      <w:szCs w:val="18"/>
    </w:rPr>
  </w:style>
  <w:style w:type="paragraph" w:customStyle="1" w:styleId="23">
    <w:name w:val="封面标准英文名称2"/>
    <w:basedOn w:val="afff2"/>
    <w:pPr>
      <w:framePr w:wrap="around" w:y="4469"/>
    </w:pPr>
  </w:style>
  <w:style w:type="paragraph" w:customStyle="1" w:styleId="a2">
    <w:name w:val="图表脚注说明"/>
    <w:basedOn w:val="afd"/>
    <w:pPr>
      <w:numPr>
        <w:numId w:val="16"/>
      </w:numPr>
    </w:pPr>
    <w:rPr>
      <w:rFonts w:ascii="宋体"/>
      <w:sz w:val="18"/>
      <w:szCs w:val="18"/>
    </w:rPr>
  </w:style>
  <w:style w:type="paragraph" w:customStyle="1" w:styleId="affffff2">
    <w:name w:val="图的脚注"/>
    <w:next w:val="aff9"/>
    <w:qFormat/>
    <w:pPr>
      <w:widowControl w:val="0"/>
      <w:ind w:leftChars="200" w:left="840" w:hangingChars="200" w:hanging="420"/>
      <w:jc w:val="both"/>
    </w:pPr>
    <w:rPr>
      <w:rFonts w:ascii="宋体"/>
      <w:sz w:val="18"/>
    </w:rPr>
  </w:style>
  <w:style w:type="paragraph" w:customStyle="1" w:styleId="affffff3">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6"/>
    <w:pPr>
      <w:framePr w:wrap="around" w:y="4469"/>
    </w:pPr>
  </w:style>
  <w:style w:type="paragraph" w:customStyle="1" w:styleId="affffff4">
    <w:name w:val="五级无"/>
    <w:basedOn w:val="a9"/>
    <w:pPr>
      <w:spacing w:beforeLines="0" w:before="0" w:afterLines="0" w:after="0"/>
    </w:pPr>
    <w:rPr>
      <w:rFonts w:ascii="宋体" w:eastAsia="宋体"/>
    </w:rPr>
  </w:style>
  <w:style w:type="paragraph" w:customStyle="1" w:styleId="affffff5">
    <w:name w:val="正文公式编号制表符"/>
    <w:basedOn w:val="aff9"/>
    <w:next w:val="aff9"/>
    <w:qFormat/>
    <w:pPr>
      <w:ind w:firstLineChars="0" w:firstLine="0"/>
    </w:pPr>
  </w:style>
  <w:style w:type="paragraph" w:customStyle="1" w:styleId="affffff6">
    <w:name w:val="终结线"/>
    <w:basedOn w:val="afd"/>
    <w:pPr>
      <w:framePr w:hSpace="181" w:vSpace="181" w:wrap="around" w:vAnchor="text" w:hAnchor="margin" w:xAlign="center" w:y="285"/>
    </w:pPr>
  </w:style>
  <w:style w:type="paragraph" w:customStyle="1" w:styleId="affffff7">
    <w:name w:val="其他实施日期"/>
    <w:basedOn w:val="afff4"/>
    <w:pPr>
      <w:framePr w:wrap="around"/>
    </w:pPr>
  </w:style>
  <w:style w:type="paragraph" w:customStyle="1" w:styleId="25">
    <w:name w:val="封面标准名称2"/>
    <w:basedOn w:val="afff3"/>
    <w:pPr>
      <w:framePr w:wrap="around" w:y="4469"/>
      <w:spacing w:beforeLines="630" w:before="630"/>
    </w:pPr>
  </w:style>
  <w:style w:type="paragraph" w:customStyle="1" w:styleId="26">
    <w:name w:val="封面一致性程度标识2"/>
    <w:basedOn w:val="afff1"/>
    <w:pPr>
      <w:framePr w:wrap="around" w:y="4469"/>
    </w:pPr>
  </w:style>
  <w:style w:type="paragraph" w:customStyle="1" w:styleId="affffff8">
    <w:name w:val="a"/>
    <w:basedOn w:val="af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2</TotalTime>
  <Pages>8</Pages>
  <Words>422</Words>
  <Characters>2407</Characters>
  <Application>Microsoft Office Word</Application>
  <DocSecurity>0</DocSecurity>
  <Lines>20</Lines>
  <Paragraphs>5</Paragraphs>
  <ScaleCrop>false</ScaleCrop>
  <Company>Microsoft</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4</cp:revision>
  <cp:lastPrinted>2020-07-21T07:18:00Z</cp:lastPrinted>
  <dcterms:created xsi:type="dcterms:W3CDTF">2022-12-22T05:22:00Z</dcterms:created>
  <dcterms:modified xsi:type="dcterms:W3CDTF">2023-01-05T06:26:00Z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C461A149BD7540869BD1166CC296A37C</vt:lpwstr>
  </property>
</Properties>
</file>